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8D861" w14:textId="3B91D263" w:rsidR="007954AA" w:rsidRDefault="007954AA">
      <w:pPr>
        <w:pStyle w:val="Sansinterligne"/>
        <w:rPr>
          <w:rFonts w:eastAsiaTheme="minorHAnsi"/>
          <w:kern w:val="2"/>
          <w:sz w:val="2"/>
          <w:szCs w:val="24"/>
          <w:lang w:eastAsia="en-US"/>
          <w14:ligatures w14:val="standardContextual"/>
        </w:rPr>
      </w:pPr>
      <w:r>
        <w:rPr>
          <w:rFonts w:eastAsiaTheme="minorHAnsi"/>
          <w:kern w:val="2"/>
          <w:sz w:val="2"/>
          <w:szCs w:val="24"/>
          <w:lang w:eastAsia="en-US"/>
          <w14:ligatures w14:val="standardContextual"/>
        </w:rPr>
        <w:t xml:space="preserve"> </w:t>
      </w:r>
    </w:p>
    <w:sdt>
      <w:sdtPr>
        <w:rPr>
          <w:rFonts w:eastAsiaTheme="minorHAnsi"/>
          <w:kern w:val="2"/>
          <w:sz w:val="2"/>
          <w:szCs w:val="24"/>
          <w:lang w:eastAsia="en-US"/>
          <w14:ligatures w14:val="standardContextual"/>
        </w:rPr>
        <w:id w:val="-1820416587"/>
        <w:docPartObj>
          <w:docPartGallery w:val="Cover Pages"/>
          <w:docPartUnique/>
        </w:docPartObj>
      </w:sdtPr>
      <w:sdtEndPr>
        <w:rPr>
          <w:sz w:val="24"/>
        </w:rPr>
      </w:sdtEndPr>
      <w:sdtContent>
        <w:p w14:paraId="0534D191" w14:textId="6ABC2589" w:rsidR="00AD45C4" w:rsidRDefault="00AD45C4">
          <w:pPr>
            <w:pStyle w:val="Sansinterligne"/>
            <w:rPr>
              <w:sz w:val="2"/>
            </w:rPr>
          </w:pPr>
        </w:p>
        <w:p w14:paraId="56585F6C" w14:textId="23E3924E" w:rsidR="00AD45C4" w:rsidRDefault="00AD45C4"/>
        <w:p w14:paraId="09005F7F" w14:textId="01B2525C" w:rsidR="00411AD7" w:rsidRDefault="009C6537" w:rsidP="00411AD7">
          <w:pPr>
            <w:rPr>
              <w:lang w:eastAsia="fr-FR"/>
            </w:rPr>
          </w:pPr>
          <w:r>
            <w:rPr>
              <w:noProof/>
            </w:rPr>
            <mc:AlternateContent>
              <mc:Choice Requires="wps">
                <w:drawing>
                  <wp:anchor distT="0" distB="0" distL="114300" distR="114300" simplePos="0" relativeHeight="251663360" behindDoc="0" locked="0" layoutInCell="1" allowOverlap="1" wp14:anchorId="7EFC9132" wp14:editId="3C10AE95">
                    <wp:simplePos x="0" y="0"/>
                    <wp:positionH relativeFrom="page">
                      <wp:align>center</wp:align>
                    </wp:positionH>
                    <wp:positionV relativeFrom="paragraph">
                      <wp:posOffset>3072765</wp:posOffset>
                    </wp:positionV>
                    <wp:extent cx="6400800" cy="2057400"/>
                    <wp:effectExtent l="0" t="0" r="19050" b="19050"/>
                    <wp:wrapNone/>
                    <wp:docPr id="1659860495" name="Rectangle 3"/>
                    <wp:cNvGraphicFramePr/>
                    <a:graphic xmlns:a="http://schemas.openxmlformats.org/drawingml/2006/main">
                      <a:graphicData uri="http://schemas.microsoft.com/office/word/2010/wordprocessingShape">
                        <wps:wsp>
                          <wps:cNvSpPr/>
                          <wps:spPr>
                            <a:xfrm>
                              <a:off x="0" y="0"/>
                              <a:ext cx="6400800" cy="2057400"/>
                            </a:xfrm>
                            <a:prstGeom prst="rect">
                              <a:avLst/>
                            </a:prstGeom>
                          </wps:spPr>
                          <wps:style>
                            <a:lnRef idx="2">
                              <a:schemeClr val="dk1"/>
                            </a:lnRef>
                            <a:fillRef idx="1">
                              <a:schemeClr val="lt1"/>
                            </a:fillRef>
                            <a:effectRef idx="0">
                              <a:schemeClr val="dk1"/>
                            </a:effectRef>
                            <a:fontRef idx="minor">
                              <a:schemeClr val="dk1"/>
                            </a:fontRef>
                          </wps:style>
                          <wps:txbx>
                            <w:txbxContent>
                              <w:p w14:paraId="2332AA94" w14:textId="497E59AD" w:rsidR="00E867D0" w:rsidRPr="00E867D0" w:rsidRDefault="00E867D0" w:rsidP="00E867D0">
                                <w:pPr>
                                  <w:pStyle w:val="Sansinterligne"/>
                                  <w:spacing w:line="360" w:lineRule="auto"/>
                                  <w:jc w:val="center"/>
                                  <w:rPr>
                                    <w:rFonts w:ascii="Times New Roman" w:eastAsiaTheme="majorEastAsia" w:hAnsi="Times New Roman" w:cs="Times New Roman"/>
                                    <w:b/>
                                    <w:bCs/>
                                    <w:color w:val="0F4761" w:themeColor="accent1" w:themeShade="BF"/>
                                    <w:sz w:val="40"/>
                                    <w:szCs w:val="40"/>
                                  </w:rPr>
                                </w:pPr>
                                <w:r w:rsidRPr="00E867D0">
                                  <w:rPr>
                                    <w:rFonts w:ascii="Times New Roman" w:eastAsiaTheme="majorEastAsia" w:hAnsi="Times New Roman" w:cs="Times New Roman"/>
                                    <w:b/>
                                    <w:bCs/>
                                    <w:color w:val="0F4761" w:themeColor="accent1" w:themeShade="BF"/>
                                    <w:sz w:val="40"/>
                                    <w:szCs w:val="40"/>
                                  </w:rPr>
                                  <w:t>Définition du cadre de référence fondamental d'un CTS dans une logique de démocratie en santé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C9132" id="Rectangle 3" o:spid="_x0000_s1026" style="position:absolute;margin-left:0;margin-top:241.95pt;width:7in;height:162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" fillcolor="white [3201]" strokecolor="black [3200]" strokeweight="1.5pt">
                    <v:textbox>
                      <w:txbxContent>
                        <w:p w14:paraId="2332AA94" w14:textId="497E59AD" w:rsidR="00E867D0" w:rsidRPr="00E867D0" w:rsidRDefault="00E867D0" w:rsidP="00E867D0">
                          <w:pPr>
                            <w:pStyle w:val="Sansinterligne"/>
                            <w:spacing w:line="360" w:lineRule="auto"/>
                            <w:jc w:val="center"/>
                            <w:rPr>
                              <w:rFonts w:ascii="Times New Roman" w:eastAsiaTheme="majorEastAsia" w:hAnsi="Times New Roman" w:cs="Times New Roman"/>
                              <w:b/>
                              <w:bCs/>
                              <w:color w:val="0F4761" w:themeColor="accent1" w:themeShade="BF"/>
                              <w:sz w:val="40"/>
                              <w:szCs w:val="40"/>
                            </w:rPr>
                          </w:pPr>
                          <w:r w:rsidRPr="00E867D0">
                            <w:rPr>
                              <w:rFonts w:ascii="Times New Roman" w:eastAsiaTheme="majorEastAsia" w:hAnsi="Times New Roman" w:cs="Times New Roman"/>
                              <w:b/>
                              <w:bCs/>
                              <w:color w:val="0F4761" w:themeColor="accent1" w:themeShade="BF"/>
                              <w:sz w:val="40"/>
                              <w:szCs w:val="40"/>
                            </w:rPr>
                            <w:t>Définition du cadre de référence fondamental d'un CTS dans une logique de démocratie en santé</w:t>
                          </w:r>
                        </w:p>
                      </w:txbxContent>
                    </v:textbox>
                    <w10:wrap anchorx="page"/>
                  </v:rect>
                </w:pict>
              </mc:Fallback>
            </mc:AlternateContent>
          </w:r>
          <w:r w:rsidR="00E867D0">
            <w:rPr>
              <w:rFonts w:ascii="Times New Roman" w:hAnsi="Times New Roman" w:cs="Times New Roman"/>
              <w:noProof/>
              <w:lang w:eastAsia="fr-FR"/>
            </w:rPr>
            <w:drawing>
              <wp:anchor distT="0" distB="0" distL="114300" distR="114300" simplePos="0" relativeHeight="251658240" behindDoc="0" locked="0" layoutInCell="1" allowOverlap="1" wp14:anchorId="06E37E33" wp14:editId="0C735B9D">
                <wp:simplePos x="0" y="0"/>
                <wp:positionH relativeFrom="margin">
                  <wp:posOffset>1398270</wp:posOffset>
                </wp:positionH>
                <wp:positionV relativeFrom="paragraph">
                  <wp:posOffset>1148715</wp:posOffset>
                </wp:positionV>
                <wp:extent cx="3505200" cy="1304925"/>
                <wp:effectExtent l="0" t="0" r="0" b="9525"/>
                <wp:wrapNone/>
                <wp:docPr id="7163152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0" cy="1304925"/>
                        </a:xfrm>
                        <a:prstGeom prst="rect">
                          <a:avLst/>
                        </a:prstGeom>
                        <a:noFill/>
                      </pic:spPr>
                    </pic:pic>
                  </a:graphicData>
                </a:graphic>
              </wp:anchor>
            </w:drawing>
          </w:r>
          <w:r w:rsidR="00E867D0">
            <w:rPr>
              <w:noProof/>
            </w:rPr>
            <mc:AlternateContent>
              <mc:Choice Requires="wps">
                <w:drawing>
                  <wp:anchor distT="0" distB="0" distL="114300" distR="114300" simplePos="0" relativeHeight="251660288" behindDoc="0" locked="0" layoutInCell="1" allowOverlap="1" wp14:anchorId="2A5FE1C7" wp14:editId="75D928A2">
                    <wp:simplePos x="0" y="0"/>
                    <wp:positionH relativeFrom="page">
                      <wp:posOffset>1345565</wp:posOffset>
                    </wp:positionH>
                    <wp:positionV relativeFrom="margin">
                      <wp:posOffset>8725535</wp:posOffset>
                    </wp:positionV>
                    <wp:extent cx="5943600" cy="374904"/>
                    <wp:effectExtent l="0" t="0" r="0" b="2540"/>
                    <wp:wrapNone/>
                    <wp:docPr id="69" name="Zone de texte 73"/>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B5933" w14:textId="1819A859" w:rsidR="00AD45C4" w:rsidRPr="009C6537" w:rsidRDefault="00132512">
                                <w:pPr>
                                  <w:pStyle w:val="Sansinterligne"/>
                                  <w:jc w:val="right"/>
                                  <w:rPr>
                                    <w:rFonts w:ascii="Times New Roman" w:hAnsi="Times New Roman" w:cs="Times New Roman"/>
                                    <w:sz w:val="36"/>
                                    <w:szCs w:val="36"/>
                                  </w:rPr>
                                </w:pPr>
                                <w:sdt>
                                  <w:sdtPr>
                                    <w:rPr>
                                      <w:rFonts w:ascii="Times New Roman" w:hAnsi="Times New Roman" w:cs="Times New Roman"/>
                                      <w:sz w:val="36"/>
                                      <w:szCs w:val="36"/>
                                    </w:rPr>
                                    <w:alias w:val="École"/>
                                    <w:tag w:val="École"/>
                                    <w:id w:val="1850680582"/>
                                    <w:dataBinding w:prefixMappings="xmlns:ns0='http://schemas.openxmlformats.org/officeDocument/2006/extended-properties' " w:xpath="/ns0:Properties[1]/ns0:Company[1]" w:storeItemID="{6668398D-A668-4E3E-A5EB-62B293D839F1}"/>
                                    <w:text/>
                                  </w:sdtPr>
                                  <w:sdtEndPr/>
                                  <w:sdtContent>
                                    <w:r w:rsidR="007954AA">
                                      <w:rPr>
                                        <w:rFonts w:ascii="Times New Roman" w:hAnsi="Times New Roman" w:cs="Times New Roman"/>
                                        <w:sz w:val="36"/>
                                        <w:szCs w:val="36"/>
                                      </w:rPr>
                                      <w:t>Document de référence</w:t>
                                    </w:r>
                                  </w:sdtContent>
                                </w:sdt>
                              </w:p>
                              <w:sdt>
                                <w:sdtPr>
                                  <w:rPr>
                                    <w:rFonts w:ascii="Times New Roman" w:hAnsi="Times New Roman" w:cs="Times New Roman"/>
                                    <w:sz w:val="36"/>
                                    <w:szCs w:val="36"/>
                                  </w:rPr>
                                  <w:alias w:val="Cours"/>
                                  <w:tag w:val="Cours"/>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7CF9EC2A" w14:textId="06438942" w:rsidR="00AD45C4" w:rsidRPr="009C6537" w:rsidRDefault="007F3A73">
                                    <w:pPr>
                                      <w:pStyle w:val="Sansinterligne"/>
                                      <w:jc w:val="right"/>
                                      <w:rPr>
                                        <w:rFonts w:ascii="Times New Roman" w:hAnsi="Times New Roman" w:cs="Times New Roman"/>
                                        <w:sz w:val="36"/>
                                        <w:szCs w:val="36"/>
                                      </w:rPr>
                                    </w:pPr>
                                    <w:r w:rsidRPr="009C6537">
                                      <w:rPr>
                                        <w:rFonts w:ascii="Times New Roman" w:hAnsi="Times New Roman" w:cs="Times New Roman"/>
                                        <w:sz w:val="36"/>
                                        <w:szCs w:val="36"/>
                                      </w:rPr>
                                      <w:t>2026 - 2027</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2A5FE1C7" id="_x0000_t202" coordsize="21600,21600" o:spt="202" path="m,l,21600r21600,l21600,xe">
                    <v:stroke joinstyle="miter"/>
                    <v:path gradientshapeok="t" o:connecttype="rect"/>
                  </v:shapetype>
                  <v:shape id="Zone de texte 73" o:spid="_x0000_s1027" type="#_x0000_t202" style="position:absolute;margin-left:105.95pt;margin-top:687.05pt;width:468pt;height:29.5pt;z-index:251660288;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" filled="f" stroked="f" strokeweight=".5pt">
                    <v:textbox style="mso-fit-shape-to-text:t" inset="0,0,0,0">
                      <w:txbxContent>
                        <w:p w14:paraId="5FDB5933" w14:textId="1819A859" w:rsidR="00AD45C4" w:rsidRPr="009C6537" w:rsidRDefault="00000000">
                          <w:pPr>
                            <w:pStyle w:val="Sansinterligne"/>
                            <w:jc w:val="right"/>
                            <w:rPr>
                              <w:rFonts w:ascii="Times New Roman" w:hAnsi="Times New Roman" w:cs="Times New Roman"/>
                              <w:sz w:val="36"/>
                              <w:szCs w:val="36"/>
                            </w:rPr>
                          </w:pPr>
                          <w:sdt>
                            <w:sdtPr>
                              <w:rPr>
                                <w:rFonts w:ascii="Times New Roman" w:hAnsi="Times New Roman" w:cs="Times New Roman"/>
                                <w:sz w:val="36"/>
                                <w:szCs w:val="36"/>
                              </w:rPr>
                              <w:alias w:val="École"/>
                              <w:tag w:val="École"/>
                              <w:id w:val="1850680582"/>
                              <w:dataBinding w:prefixMappings="xmlns:ns0='http://schemas.openxmlformats.org/officeDocument/2006/extended-properties' " w:xpath="/ns0:Properties[1]/ns0:Company[1]" w:storeItemID="{6668398D-A668-4E3E-A5EB-62B293D839F1}"/>
                              <w:text/>
                            </w:sdtPr>
                            <w:sdtContent>
                              <w:r w:rsidR="007954AA">
                                <w:rPr>
                                  <w:rFonts w:ascii="Times New Roman" w:hAnsi="Times New Roman" w:cs="Times New Roman"/>
                                  <w:sz w:val="36"/>
                                  <w:szCs w:val="36"/>
                                </w:rPr>
                                <w:t>Document de référence</w:t>
                              </w:r>
                            </w:sdtContent>
                          </w:sdt>
                        </w:p>
                        <w:sdt>
                          <w:sdtPr>
                            <w:rPr>
                              <w:rFonts w:ascii="Times New Roman" w:hAnsi="Times New Roman" w:cs="Times New Roman"/>
                              <w:sz w:val="36"/>
                              <w:szCs w:val="36"/>
                            </w:rPr>
                            <w:alias w:val="Cours"/>
                            <w:tag w:val="Cours"/>
                            <w:id w:val="1717703537"/>
                            <w:dataBinding w:prefixMappings="xmlns:ns0='http://purl.org/dc/elements/1.1/' xmlns:ns1='http://schemas.openxmlformats.org/package/2006/metadata/core-properties' " w:xpath="/ns1:coreProperties[1]/ns1:category[1]" w:storeItemID="{6C3C8BC8-F283-45AE-878A-BAB7291924A1}"/>
                            <w:text/>
                          </w:sdtPr>
                          <w:sdtContent>
                            <w:p w14:paraId="7CF9EC2A" w14:textId="06438942" w:rsidR="00AD45C4" w:rsidRPr="009C6537" w:rsidRDefault="007F3A73">
                              <w:pPr>
                                <w:pStyle w:val="Sansinterligne"/>
                                <w:jc w:val="right"/>
                                <w:rPr>
                                  <w:rFonts w:ascii="Times New Roman" w:hAnsi="Times New Roman" w:cs="Times New Roman"/>
                                  <w:sz w:val="36"/>
                                  <w:szCs w:val="36"/>
                                </w:rPr>
                              </w:pPr>
                              <w:r w:rsidRPr="009C6537">
                                <w:rPr>
                                  <w:rFonts w:ascii="Times New Roman" w:hAnsi="Times New Roman" w:cs="Times New Roman"/>
                                  <w:sz w:val="36"/>
                                  <w:szCs w:val="36"/>
                                </w:rPr>
                                <w:t>2026 - 2027</w:t>
                              </w:r>
                            </w:p>
                          </w:sdtContent>
                        </w:sdt>
                      </w:txbxContent>
                    </v:textbox>
                    <w10:wrap anchorx="page" anchory="margin"/>
                  </v:shape>
                </w:pict>
              </mc:Fallback>
            </mc:AlternateContent>
          </w:r>
          <w:r w:rsidR="00AD45C4">
            <w:br w:type="page"/>
          </w:r>
        </w:p>
        <w:bookmarkStart w:id="0" w:name="_Toc217385599" w:displacedByCustomXml="next"/>
        <w:sdt>
          <w:sdtPr>
            <w:rPr>
              <w:i/>
              <w:kern w:val="0"/>
              <w:szCs w:val="32"/>
              <w:lang w:eastAsia="fr-FR"/>
              <w14:ligatures w14:val="none"/>
            </w:rPr>
            <w:id w:val="-632491970"/>
            <w:docPartObj>
              <w:docPartGallery w:val="Table of Contents"/>
              <w:docPartUnique/>
            </w:docPartObj>
          </w:sdtPr>
          <w:sdtEndPr/>
          <w:sdtContent>
            <w:p w14:paraId="753CCA1E" w14:textId="66931575" w:rsidR="00E03DC4" w:rsidRDefault="00E03DC4" w:rsidP="00FD4509">
              <w:pPr>
                <w:pStyle w:val="Titre1"/>
                <w:numPr>
                  <w:ilvl w:val="0"/>
                  <w:numId w:val="0"/>
                </w:numPr>
                <w:ind w:left="432"/>
              </w:pPr>
              <w:r>
                <w:t>Table des matières</w:t>
              </w:r>
              <w:bookmarkEnd w:id="0"/>
            </w:p>
            <w:p w14:paraId="1800FBEF" w14:textId="7EB54326" w:rsidR="00E65DFA" w:rsidRDefault="00E65DFA" w:rsidP="00725230">
              <w:pPr>
                <w:pStyle w:val="abstractetconclu"/>
              </w:pPr>
              <w:r w:rsidRPr="00725230">
                <w:t>Abstract</w:t>
              </w:r>
              <w:r w:rsidR="00725230">
                <w:t>…………………………………………………………………</w:t>
              </w:r>
              <w:r w:rsidR="00C27B4C">
                <w:t>.</w:t>
              </w:r>
              <w:r w:rsidR="00725230">
                <w:t>……2</w:t>
              </w:r>
            </w:p>
            <w:p w14:paraId="388095FC" w14:textId="77777777" w:rsidR="009C35C3" w:rsidRPr="00E97FEB" w:rsidRDefault="009C35C3" w:rsidP="009E22C1">
              <w:pPr>
                <w:pStyle w:val="abstractetconclu"/>
                <w:spacing w:before="0" w:line="276" w:lineRule="auto"/>
              </w:pPr>
            </w:p>
            <w:p w14:paraId="3822E154" w14:textId="2102B22C" w:rsidR="00E03DC4" w:rsidRPr="00C27B4C" w:rsidRDefault="009105D7" w:rsidP="009E22C1">
              <w:pPr>
                <w:pStyle w:val="Stylegrandtitres"/>
              </w:pPr>
              <w:bookmarkStart w:id="1" w:name="_Toc217385600"/>
              <w:r w:rsidRPr="0094353F">
                <w:rPr>
                  <w:sz w:val="32"/>
                  <w:szCs w:val="32"/>
                </w:rPr>
                <w:t>Comprendre la sante publique pour éclairer l’action territoriale</w:t>
              </w:r>
              <w:bookmarkEnd w:id="1"/>
              <w:r w:rsidR="00FD4509" w:rsidRPr="00C27B4C">
                <w:t>……</w:t>
              </w:r>
              <w:r w:rsidR="00C27B4C">
                <w:t>…………</w:t>
              </w:r>
              <w:r w:rsidR="00725230" w:rsidRPr="00C27B4C">
                <w:t>…</w:t>
              </w:r>
              <w:r w:rsidR="0094353F">
                <w:t>……………………………………………………………...</w:t>
              </w:r>
              <w:r w:rsidR="00725230" w:rsidRPr="00C27B4C">
                <w:t>…</w:t>
              </w:r>
              <w:r w:rsidR="00FD4509" w:rsidRPr="00C27B4C">
                <w:t>3</w:t>
              </w:r>
            </w:p>
            <w:p w14:paraId="1916777A" w14:textId="24AE1E43" w:rsidR="000035A3" w:rsidRDefault="003E486A" w:rsidP="009E22C1">
              <w:pPr>
                <w:pStyle w:val="Titre2"/>
                <w:spacing w:line="276" w:lineRule="auto"/>
              </w:pPr>
              <w:r>
                <w:t>Définir la santé : repères conceptuels et cadre de référence</w:t>
              </w:r>
              <w:r w:rsidR="00FD4509">
                <w:t>…………………</w:t>
              </w:r>
              <w:r w:rsidR="00C27B4C">
                <w:t>…</w:t>
              </w:r>
              <w:r w:rsidR="00FD4509">
                <w:t>.3</w:t>
              </w:r>
            </w:p>
            <w:p w14:paraId="77867C38" w14:textId="1C574CAD" w:rsidR="00062C1E" w:rsidRDefault="003E486A" w:rsidP="009E22C1">
              <w:pPr>
                <w:pStyle w:val="Titre2"/>
                <w:spacing w:line="276" w:lineRule="auto"/>
              </w:pPr>
              <w:r>
                <w:t>Les déterminants</w:t>
              </w:r>
              <w:r w:rsidR="00062C1E">
                <w:t xml:space="preserve"> </w:t>
              </w:r>
              <w:r>
                <w:t>de santé : inégalités sociales et</w:t>
              </w:r>
              <w:r w:rsidR="00062C1E">
                <w:t xml:space="preserve"> </w:t>
              </w:r>
              <w:r>
                <w:t>inégalités en sant</w:t>
              </w:r>
              <w:r w:rsidR="007E7164">
                <w:t>é</w:t>
              </w:r>
              <w:r w:rsidR="00BA5247">
                <w:t>………..</w:t>
              </w:r>
              <w:r w:rsidR="00C27B4C">
                <w:t>....</w:t>
              </w:r>
              <w:r w:rsidR="00BA5247">
                <w:t>4</w:t>
              </w:r>
              <w:r>
                <w:t xml:space="preserve"> </w:t>
              </w:r>
            </w:p>
            <w:p w14:paraId="7B3AABBA" w14:textId="082A655A" w:rsidR="00062C1E" w:rsidRDefault="00062C1E" w:rsidP="009E22C1">
              <w:pPr>
                <w:pStyle w:val="Titre2"/>
                <w:spacing w:line="276" w:lineRule="auto"/>
              </w:pPr>
              <w:r>
                <w:t xml:space="preserve">Les indicateurs de santé : outils d’analyse et de </w:t>
              </w:r>
              <w:r w:rsidRPr="000035A3">
                <w:t>pilotage</w:t>
              </w:r>
              <w:r>
                <w:t xml:space="preserve"> territorial</w:t>
              </w:r>
              <w:r w:rsidR="00BA5247">
                <w:t>……</w:t>
              </w:r>
              <w:r w:rsidR="00A51867">
                <w:t>……</w:t>
              </w:r>
              <w:r w:rsidR="00C27B4C">
                <w:t>...</w:t>
              </w:r>
              <w:r w:rsidR="00A51867">
                <w:t>5</w:t>
              </w:r>
            </w:p>
            <w:p w14:paraId="68A679B3" w14:textId="2EBD05DC" w:rsidR="00E03DC4" w:rsidRDefault="00062C1E" w:rsidP="009E22C1">
              <w:pPr>
                <w:pStyle w:val="Titre2"/>
                <w:spacing w:line="276" w:lineRule="auto"/>
              </w:pPr>
              <w:r>
                <w:t>Enjeux contemporains de santé publique et action territoriale</w:t>
              </w:r>
              <w:r w:rsidR="00A51867">
                <w:t>………………</w:t>
              </w:r>
              <w:r w:rsidR="00C27B4C">
                <w:t>..</w:t>
              </w:r>
              <w:r w:rsidR="00A51867">
                <w:t>6</w:t>
              </w:r>
            </w:p>
            <w:p w14:paraId="5597B57F" w14:textId="298584C1" w:rsidR="00E03DC4" w:rsidRDefault="00327DDB" w:rsidP="009E22C1">
              <w:pPr>
                <w:pStyle w:val="Titre1"/>
                <w:spacing w:line="276" w:lineRule="auto"/>
              </w:pPr>
              <w:bookmarkStart w:id="2" w:name="_Toc217385601"/>
              <w:r w:rsidRPr="000035A3">
                <w:t>Le</w:t>
              </w:r>
              <w:r>
                <w:t xml:space="preserve"> </w:t>
              </w:r>
              <w:r w:rsidR="003C5616">
                <w:t>C</w:t>
              </w:r>
              <w:r>
                <w:t>onseil</w:t>
              </w:r>
              <w:r w:rsidR="003C5616">
                <w:t xml:space="preserve"> T</w:t>
              </w:r>
              <w:r>
                <w:t xml:space="preserve">erritorial de </w:t>
              </w:r>
              <w:r w:rsidR="003C5616">
                <w:t>S</w:t>
              </w:r>
              <w:r>
                <w:t>ante : cadre, missions et fondements d</w:t>
              </w:r>
              <w:r w:rsidR="000035A3">
                <w:t>é</w:t>
              </w:r>
              <w:r>
                <w:t>mocratiques</w:t>
              </w:r>
              <w:bookmarkEnd w:id="2"/>
              <w:r w:rsidR="00A51867">
                <w:t>…………………………...……………………………………</w:t>
              </w:r>
              <w:r w:rsidR="00212E66">
                <w:t>.</w:t>
              </w:r>
              <w:r w:rsidR="00A51867">
                <w:t>…</w:t>
              </w:r>
              <w:r w:rsidR="00535F6E">
                <w:t>.</w:t>
              </w:r>
              <w:r w:rsidR="00A51867">
                <w:t>7</w:t>
              </w:r>
            </w:p>
            <w:p w14:paraId="381AB170" w14:textId="1D783B4A" w:rsidR="00E03DC4" w:rsidRDefault="00327DDB" w:rsidP="00193B7A">
              <w:pPr>
                <w:pStyle w:val="Titre2"/>
                <w:spacing w:line="276" w:lineRule="auto"/>
              </w:pPr>
              <w:r>
                <w:t xml:space="preserve">Origine et </w:t>
              </w:r>
              <w:r w:rsidRPr="00E97FEB">
                <w:t>cadre</w:t>
              </w:r>
              <w:r>
                <w:t xml:space="preserve"> légal</w:t>
              </w:r>
              <w:r w:rsidR="00535F6E">
                <w:t>……………………………………………………………</w:t>
              </w:r>
              <w:r w:rsidR="00212E66">
                <w:t>…</w:t>
              </w:r>
              <w:r w:rsidR="00535F6E">
                <w:t>8</w:t>
              </w:r>
            </w:p>
            <w:p w14:paraId="5D06EB75" w14:textId="004CE1F0" w:rsidR="00E65DFA" w:rsidRDefault="00E65DFA" w:rsidP="00193B7A">
              <w:pPr>
                <w:pStyle w:val="Titre2"/>
                <w:spacing w:line="276" w:lineRule="auto"/>
              </w:pPr>
              <w:r>
                <w:t>Les valeurs et principes d’action du CTS</w:t>
              </w:r>
              <w:r w:rsidR="0081556D">
                <w:t>………………………………………</w:t>
              </w:r>
              <w:r w:rsidR="00A7083A">
                <w:t>.10</w:t>
              </w:r>
            </w:p>
            <w:p w14:paraId="1DD493A0" w14:textId="6EF79AFD" w:rsidR="00E65DFA" w:rsidRDefault="00E65DFA" w:rsidP="00193B7A">
              <w:pPr>
                <w:pStyle w:val="Titre2"/>
                <w:spacing w:line="276" w:lineRule="auto"/>
              </w:pPr>
              <w:r>
                <w:t xml:space="preserve">Les politiques publiques de santé : </w:t>
              </w:r>
              <w:r w:rsidR="0016242B">
                <w:t xml:space="preserve">le </w:t>
              </w:r>
              <w:r>
                <w:t>PRS comme cadre de référence</w:t>
              </w:r>
              <w:r w:rsidR="002157E3">
                <w:t xml:space="preserve"> </w:t>
              </w:r>
              <w:r w:rsidR="0081556D">
                <w:t>………………………………………………………………………</w:t>
              </w:r>
              <w:r w:rsidR="004E716C">
                <w:t>…..</w:t>
              </w:r>
              <w:r w:rsidR="0081556D">
                <w:t>……</w:t>
              </w:r>
              <w:r w:rsidR="00B6510A">
                <w:t>…….</w:t>
              </w:r>
              <w:r w:rsidR="00A7083A">
                <w:t>10</w:t>
              </w:r>
            </w:p>
            <w:p w14:paraId="5E509D4A" w14:textId="42F18426" w:rsidR="00E65DFA" w:rsidRDefault="00E65DFA" w:rsidP="00193B7A">
              <w:pPr>
                <w:pStyle w:val="Titre2"/>
                <w:spacing w:line="276" w:lineRule="auto"/>
              </w:pPr>
              <w:r>
                <w:t>Le CTS dans l’écosystème institutionnel et la démocratie en santé</w:t>
              </w:r>
              <w:r w:rsidR="00A7083A">
                <w:t>……………11</w:t>
              </w:r>
            </w:p>
            <w:p w14:paraId="3D0B2ED8" w14:textId="677B21EE" w:rsidR="00E65DFA" w:rsidRDefault="00CB0A89" w:rsidP="009E22C1">
              <w:pPr>
                <w:pStyle w:val="Titre1"/>
                <w:spacing w:line="276" w:lineRule="auto"/>
              </w:pPr>
              <w:r>
                <w:t xml:space="preserve"> </w:t>
              </w:r>
              <w:bookmarkStart w:id="3" w:name="_Toc217385602"/>
              <w:r w:rsidR="00E65DFA">
                <w:t>Les inégalités sociales et territoriales de santé : une finalité des politiques publiques de santé</w:t>
              </w:r>
              <w:bookmarkEnd w:id="3"/>
              <w:r w:rsidR="004125CE">
                <w:t>…………………………………………</w:t>
              </w:r>
              <w:r w:rsidR="006312FA">
                <w:t>…………..</w:t>
              </w:r>
              <w:r w:rsidR="004125CE">
                <w:t>…………13</w:t>
              </w:r>
            </w:p>
            <w:p w14:paraId="0B0C3BAB" w14:textId="44BCA6A4" w:rsidR="00E65DFA" w:rsidRDefault="00E65DFA" w:rsidP="009E22C1">
              <w:pPr>
                <w:pStyle w:val="Titre2"/>
                <w:spacing w:line="276" w:lineRule="auto"/>
                <w:ind w:right="0"/>
              </w:pPr>
              <w:r>
                <w:t>Définition des inégalités sociales et territoriales de santé</w:t>
              </w:r>
              <w:r w:rsidR="00B34F06">
                <w:t xml:space="preserve"> </w:t>
              </w:r>
              <w:r w:rsidR="004125CE">
                <w:t>……</w:t>
              </w:r>
              <w:r w:rsidR="00677D09">
                <w:t>.</w:t>
              </w:r>
              <w:r w:rsidR="004125CE">
                <w:t>………………</w:t>
              </w:r>
              <w:r w:rsidR="00212E66">
                <w:t>…</w:t>
              </w:r>
              <w:r w:rsidR="004125CE">
                <w:t>13</w:t>
              </w:r>
            </w:p>
            <w:p w14:paraId="0173259B" w14:textId="1451A7F0" w:rsidR="00E65DFA" w:rsidRDefault="00E65DFA" w:rsidP="009E22C1">
              <w:pPr>
                <w:pStyle w:val="Titre2"/>
                <w:spacing w:line="276" w:lineRule="auto"/>
              </w:pPr>
              <w:r>
                <w:t>Repères conceptuels</w:t>
              </w:r>
              <w:r w:rsidR="00244616">
                <w:t>…………………………………………………………</w:t>
              </w:r>
              <w:r w:rsidR="005D23C5">
                <w:t>.</w:t>
              </w:r>
              <w:r w:rsidR="00244616">
                <w:t>….…15</w:t>
              </w:r>
            </w:p>
            <w:p w14:paraId="33E79A2A" w14:textId="39558649" w:rsidR="00E65DFA" w:rsidRDefault="00E65DFA" w:rsidP="009E22C1">
              <w:pPr>
                <w:pStyle w:val="Titre2"/>
                <w:spacing w:line="276" w:lineRule="auto"/>
              </w:pPr>
              <w:r>
                <w:t>Les dynamiques territoriales du Val – de – Marne</w:t>
              </w:r>
              <w:r w:rsidR="00725230">
                <w:t xml:space="preserve"> ...</w:t>
              </w:r>
              <w:r w:rsidR="00244616">
                <w:t>…………………………</w:t>
              </w:r>
              <w:r w:rsidR="005D23C5">
                <w:t>.</w:t>
              </w:r>
              <w:r w:rsidR="007B41F2">
                <w:t>...</w:t>
              </w:r>
              <w:r w:rsidR="00244616">
                <w:t>17</w:t>
              </w:r>
            </w:p>
            <w:p w14:paraId="432A1598" w14:textId="77777777" w:rsidR="009C35C3" w:rsidRDefault="009C35C3" w:rsidP="00193B7A">
              <w:pPr>
                <w:pStyle w:val="abstractetconclu"/>
                <w:spacing w:line="240" w:lineRule="auto"/>
              </w:pPr>
            </w:p>
            <w:p w14:paraId="473259F2" w14:textId="2D02B030" w:rsidR="000A610A" w:rsidRDefault="00E65DFA" w:rsidP="009E22C1">
              <w:pPr>
                <w:pStyle w:val="abstractetconclu"/>
                <w:spacing w:line="240" w:lineRule="auto"/>
              </w:pPr>
              <w:r w:rsidRPr="00725230">
                <w:t>Conclusion</w:t>
              </w:r>
              <w:r w:rsidR="009C35C3">
                <w:t>…………………………………………………………………….17</w:t>
              </w:r>
            </w:p>
            <w:p w14:paraId="7315E988" w14:textId="613F55A7" w:rsidR="00E03DC4" w:rsidRPr="00E97FEB" w:rsidRDefault="000A610A" w:rsidP="00725230">
              <w:pPr>
                <w:pStyle w:val="abstractetconclu"/>
              </w:pPr>
              <w:r>
                <w:t>Synthèse……………………………………………………………………</w:t>
              </w:r>
              <w:r w:rsidR="009E22C1">
                <w:t>….20</w:t>
              </w:r>
            </w:p>
          </w:sdtContent>
        </w:sdt>
        <w:p w14:paraId="3431E37E" w14:textId="4DB6E17E" w:rsidR="007F3A73" w:rsidRPr="007F3A73" w:rsidRDefault="00132512" w:rsidP="007F3A73">
          <w:pPr>
            <w:rPr>
              <w:lang w:eastAsia="fr-FR"/>
            </w:rPr>
          </w:pPr>
        </w:p>
      </w:sdtContent>
    </w:sdt>
    <w:bookmarkStart w:id="4" w:name="_Toc217385603" w:displacedByCustomXml="prev"/>
    <w:bookmarkEnd w:id="4" w:displacedByCustomXml="prev"/>
    <w:p w14:paraId="06C3DFE0" w14:textId="562D3EC2" w:rsidR="00EA2C21" w:rsidRPr="009123EF" w:rsidRDefault="00EA2C21" w:rsidP="00FD4509">
      <w:pPr>
        <w:pStyle w:val="abstractetconclu"/>
      </w:pPr>
      <w:r w:rsidRPr="007345CE">
        <w:lastRenderedPageBreak/>
        <w:t>A</w:t>
      </w:r>
      <w:r w:rsidR="00725230">
        <w:t>bstract</w:t>
      </w:r>
    </w:p>
    <w:p w14:paraId="23703A24" w14:textId="77777777" w:rsidR="00EA2C21" w:rsidRPr="009123EF" w:rsidRDefault="00EA2C21" w:rsidP="00C27B4C">
      <w:pPr>
        <w:pStyle w:val="Stylegrandtitres"/>
        <w:numPr>
          <w:ilvl w:val="0"/>
          <w:numId w:val="0"/>
        </w:numPr>
        <w:ind w:left="720"/>
      </w:pPr>
    </w:p>
    <w:p w14:paraId="23733F89" w14:textId="77777777" w:rsidR="00EA2C21" w:rsidRPr="00F347D0" w:rsidRDefault="00EA2C21" w:rsidP="009123EF">
      <w:pPr>
        <w:spacing w:line="276" w:lineRule="auto"/>
        <w:jc w:val="both"/>
        <w:rPr>
          <w:rFonts w:ascii="Times New Roman" w:hAnsi="Times New Roman" w:cs="Times New Roman"/>
          <w:lang w:eastAsia="fr-FR"/>
        </w:rPr>
      </w:pPr>
      <w:r w:rsidRPr="00F347D0">
        <w:rPr>
          <w:rFonts w:ascii="Times New Roman" w:hAnsi="Times New Roman" w:cs="Times New Roman"/>
          <w:lang w:eastAsia="fr-FR"/>
        </w:rPr>
        <w:t>Ce document propose une analyse du Conseil Territorial de Santé (CTS) en tant qu’instance de démocratie en santé, avec pour objectif d’interroger la place qu’il peut occuper dans la conception et l’orientation des politiques publiques locales de santé. La réflexion s’articule autour d’une question centrale : comment le Conseil Territorial de Santé peut-il être pensé comme une instance de démocratie en santé à part entière, capable de contribuer à la conception des politiques publiques locales de santé à partir des réalités territoriales, dans un contexte où les approches essentiellement descendantes montrent leurs limites ?</w:t>
      </w:r>
    </w:p>
    <w:p w14:paraId="1759370D" w14:textId="77777777" w:rsidR="00EA2C21" w:rsidRPr="00F347D0" w:rsidRDefault="00EA2C21" w:rsidP="009123EF">
      <w:pPr>
        <w:spacing w:line="276" w:lineRule="auto"/>
        <w:jc w:val="both"/>
        <w:rPr>
          <w:rFonts w:ascii="Times New Roman" w:hAnsi="Times New Roman" w:cs="Times New Roman"/>
          <w:lang w:eastAsia="fr-FR"/>
        </w:rPr>
      </w:pPr>
      <w:r w:rsidRPr="00F347D0">
        <w:rPr>
          <w:rFonts w:ascii="Times New Roman" w:hAnsi="Times New Roman" w:cs="Times New Roman"/>
          <w:lang w:eastAsia="fr-FR"/>
        </w:rPr>
        <w:t>Le texte s’inscrit dans un constat largement partagé : malgré l’amélioration de certains indicateurs globaux, les inégalités sociales et territoriales de santé persistent, voire s’accentuent. Il repose sur l’hypothèse que ces inégalités résultent de l’accumulation d’inégalités sociales qui affectent l’ensemble des déterminants de la santé, et qu’elles ne peuvent être comprises ni traitées par le seul système de soins. Cette situation invite à adopter un cadre de référence commun, fondé sur une conception large de la santé, intégrant les conditions de vie, les environnements, l’accès aux ressources et les dynamiques territoriales.</w:t>
      </w:r>
    </w:p>
    <w:p w14:paraId="54A19DC0" w14:textId="77777777" w:rsidR="00EA2C21" w:rsidRPr="00F347D0" w:rsidRDefault="00EA2C21" w:rsidP="009123EF">
      <w:pPr>
        <w:spacing w:line="276" w:lineRule="auto"/>
        <w:jc w:val="both"/>
        <w:rPr>
          <w:rFonts w:ascii="Times New Roman" w:hAnsi="Times New Roman" w:cs="Times New Roman"/>
          <w:lang w:eastAsia="fr-FR"/>
        </w:rPr>
      </w:pPr>
      <w:r w:rsidRPr="00F347D0">
        <w:rPr>
          <w:rFonts w:ascii="Times New Roman" w:hAnsi="Times New Roman" w:cs="Times New Roman"/>
          <w:lang w:eastAsia="fr-FR"/>
        </w:rPr>
        <w:t>Dans ce contexte, le CTS apparaît comme un espace stratégique de mise en discussion collective. Par son ancrage territorial et sa fonction de concertation, il permet de croiser les regards d’acteurs issus de champs divers et d’ancrer la réflexion en santé dans les réalités vécues par les populations. Il peut ainsi contribuer à faire émerger une lecture plus fine des besoins locaux et à éclairer l’action publique dans une logique davantage ascendante (bottom-up). Cette perspective suppose de dépasser une approche strictement sanitaire pour inscrire pleinement le CTS dans une démocratie en santé, attentive aux déterminants sociaux, économiques et territoriaux de la santé.</w:t>
      </w:r>
    </w:p>
    <w:p w14:paraId="572DB926" w14:textId="77777777" w:rsidR="00EA2C21" w:rsidRPr="00F347D0" w:rsidRDefault="00EA2C21" w:rsidP="009123EF">
      <w:pPr>
        <w:spacing w:line="276" w:lineRule="auto"/>
        <w:jc w:val="both"/>
        <w:rPr>
          <w:rFonts w:ascii="Times New Roman" w:hAnsi="Times New Roman" w:cs="Times New Roman"/>
          <w:lang w:eastAsia="fr-FR"/>
        </w:rPr>
      </w:pPr>
      <w:r w:rsidRPr="00F347D0">
        <w:rPr>
          <w:rFonts w:ascii="Times New Roman" w:hAnsi="Times New Roman" w:cs="Times New Roman"/>
          <w:lang w:eastAsia="fr-FR"/>
        </w:rPr>
        <w:t>Le raisonnement développé dans ce document suit un cheminement progressif. Il pose d’abord les repères fondamentaux de la santé publique nécessaires à une compréhension partagée des enjeux, avant de situer le CTS dans son cadre institutionnel, ses principes d’action et son articulation avec les politiques publiques de santé. Il analyse ensuite les mécanismes des inégalités sociales et territoriales de santé, tant sur le plan théorique que dans leur expression concrète à l’échelle du Val-de-Marne, afin de montrer en quoi le CTS peut jouer un rôle clé dans la mise en cohérence des constats, des priorités et des leviers d’action à l’échelle locale.</w:t>
      </w:r>
    </w:p>
    <w:p w14:paraId="1024BDF3" w14:textId="71C14655" w:rsidR="00EA2C21" w:rsidRPr="00F347D0" w:rsidRDefault="00EA2C21" w:rsidP="009123EF">
      <w:pPr>
        <w:spacing w:line="276" w:lineRule="auto"/>
        <w:jc w:val="both"/>
        <w:rPr>
          <w:rFonts w:ascii="Times New Roman" w:hAnsi="Times New Roman" w:cs="Times New Roman"/>
          <w:lang w:eastAsia="fr-FR"/>
        </w:rPr>
      </w:pPr>
      <w:r w:rsidRPr="00F347D0">
        <w:rPr>
          <w:rFonts w:ascii="Times New Roman" w:hAnsi="Times New Roman" w:cs="Times New Roman"/>
          <w:lang w:eastAsia="fr-FR"/>
        </w:rPr>
        <w:t xml:space="preserve">Ce document se présente ainsi comme un plaidoyer argumenté en faveur du CTS en tant qu’outil de démocratie en santé. Il défend l’idée que l’intérêt du CTS ne réside pas uniquement dans son cadre </w:t>
      </w:r>
      <w:r w:rsidR="00593C98">
        <w:rPr>
          <w:rFonts w:ascii="Times New Roman" w:hAnsi="Times New Roman" w:cs="Times New Roman"/>
          <w:lang w:eastAsia="fr-FR"/>
        </w:rPr>
        <w:t>légal</w:t>
      </w:r>
      <w:r w:rsidRPr="00F347D0">
        <w:rPr>
          <w:rFonts w:ascii="Times New Roman" w:hAnsi="Times New Roman" w:cs="Times New Roman"/>
          <w:lang w:eastAsia="fr-FR"/>
        </w:rPr>
        <w:t>, mais dans la dynamique collective qu’il permet de construire. Il vise à montrer pourquoi l’implication des acteurs au sein du CTS est essentielle pour éclairer les politiques publiques locales, renforcer leur cohérence territoriale et contribuer, autant que possible, à la réduction des inégalités sociales et territoriales de santé. À ce titre, il a également vocation à constituer un repère commun pour les acteurs engagés dans les travaux du CTS, et notamment pour ses nouveaux membres.</w:t>
      </w:r>
    </w:p>
    <w:p w14:paraId="12C50FBC" w14:textId="77777777" w:rsidR="00461DAF" w:rsidRPr="009123EF" w:rsidRDefault="00461DAF" w:rsidP="009123EF">
      <w:pPr>
        <w:spacing w:line="276" w:lineRule="auto"/>
        <w:jc w:val="both"/>
        <w:rPr>
          <w:rFonts w:ascii="Times New Roman" w:hAnsi="Times New Roman" w:cs="Times New Roman"/>
          <w:lang w:eastAsia="fr-FR"/>
        </w:rPr>
      </w:pPr>
    </w:p>
    <w:p w14:paraId="7911D860" w14:textId="145BA922" w:rsidR="00FB3ECC" w:rsidRDefault="00C354C2" w:rsidP="00FD4509">
      <w:pPr>
        <w:pStyle w:val="Titre1"/>
        <w:numPr>
          <w:ilvl w:val="0"/>
          <w:numId w:val="37"/>
        </w:numPr>
      </w:pPr>
      <w:bookmarkStart w:id="5" w:name="_Ref217383628"/>
      <w:bookmarkStart w:id="6" w:name="_Toc217385604"/>
      <w:r w:rsidRPr="00253E06">
        <w:lastRenderedPageBreak/>
        <w:t>Comprendre</w:t>
      </w:r>
      <w:r w:rsidRPr="00C354C2">
        <w:t xml:space="preserve"> la </w:t>
      </w:r>
      <w:r w:rsidRPr="00450FCB">
        <w:t>santé</w:t>
      </w:r>
      <w:r w:rsidRPr="00C354C2">
        <w:t xml:space="preserve"> publique pour éclairer l’action </w:t>
      </w:r>
      <w:r w:rsidRPr="00D76083">
        <w:t>territoriale</w:t>
      </w:r>
      <w:bookmarkEnd w:id="5"/>
      <w:bookmarkEnd w:id="6"/>
    </w:p>
    <w:p w14:paraId="56C54A79" w14:textId="77777777" w:rsidR="00FB3ECC" w:rsidRPr="00C354C2" w:rsidRDefault="00FB3ECC" w:rsidP="00C27B4C">
      <w:pPr>
        <w:pStyle w:val="Stylegrandtitres"/>
        <w:numPr>
          <w:ilvl w:val="0"/>
          <w:numId w:val="0"/>
        </w:numPr>
        <w:ind w:left="1080"/>
      </w:pPr>
    </w:p>
    <w:p w14:paraId="57CFF049" w14:textId="77777777" w:rsidR="00C354C2" w:rsidRPr="00C354C2" w:rsidRDefault="00C354C2" w:rsidP="009123EF">
      <w:pPr>
        <w:spacing w:line="276" w:lineRule="auto"/>
        <w:jc w:val="both"/>
        <w:rPr>
          <w:rFonts w:ascii="Times New Roman" w:hAnsi="Times New Roman" w:cs="Times New Roman"/>
          <w:lang w:eastAsia="fr-FR"/>
        </w:rPr>
      </w:pPr>
      <w:r w:rsidRPr="00C354C2">
        <w:rPr>
          <w:rFonts w:ascii="Times New Roman" w:hAnsi="Times New Roman" w:cs="Times New Roman"/>
          <w:lang w:eastAsia="fr-FR"/>
        </w:rPr>
        <w:t>Pour interroger la capacité du Conseil Territorial de Santé (CTS) à contribuer à l’élaboration des politiques publiques locales, il est nécessaire de poser d’abord un cadre commun de compréhension de la santé publique. La manière dont la santé est définie, expliquée et mesurée conditionne en effet les réponses qui peuvent être apportées à l’échelle des territoires.</w:t>
      </w:r>
    </w:p>
    <w:p w14:paraId="5F420EE3" w14:textId="77777777" w:rsidR="00C354C2" w:rsidRPr="00C354C2" w:rsidRDefault="00C354C2" w:rsidP="009123EF">
      <w:pPr>
        <w:spacing w:line="276" w:lineRule="auto"/>
        <w:jc w:val="both"/>
        <w:rPr>
          <w:rFonts w:ascii="Times New Roman" w:hAnsi="Times New Roman" w:cs="Times New Roman"/>
          <w:lang w:eastAsia="fr-FR"/>
        </w:rPr>
      </w:pPr>
      <w:r w:rsidRPr="00C354C2">
        <w:rPr>
          <w:rFonts w:ascii="Times New Roman" w:hAnsi="Times New Roman" w:cs="Times New Roman"/>
          <w:lang w:eastAsia="fr-FR"/>
        </w:rPr>
        <w:t>Cette première partie vise ainsi à rappeler les principaux repères : la définition de la santé, les déterminants qui l’influencent, les outils permettant d’objectiver les écarts entre populations, ainsi que les grands enjeux contemporains de santé publique. Elle permet de montrer que la santé ne se réduit pas au soin et qu’elle dépend largement de facteurs sociaux, environnementaux et territoriaux.</w:t>
      </w:r>
    </w:p>
    <w:p w14:paraId="044209AA" w14:textId="77777777" w:rsidR="00C354C2" w:rsidRDefault="00C354C2" w:rsidP="009123EF">
      <w:pPr>
        <w:spacing w:line="276" w:lineRule="auto"/>
        <w:jc w:val="both"/>
        <w:rPr>
          <w:rFonts w:ascii="Times New Roman" w:hAnsi="Times New Roman" w:cs="Times New Roman"/>
          <w:lang w:eastAsia="fr-FR"/>
        </w:rPr>
      </w:pPr>
      <w:r w:rsidRPr="00C354C2">
        <w:rPr>
          <w:rFonts w:ascii="Times New Roman" w:hAnsi="Times New Roman" w:cs="Times New Roman"/>
          <w:lang w:eastAsia="fr-FR"/>
        </w:rPr>
        <w:t>Ces éléments constituent un point d’appui indispensable pour la suite du raisonnement. Ils permettent de comprendre pourquoi les politiques publiques de santé appellent aujourd’hui des approches plus transversales et territorialisées, et en quoi le CTS peut s’inscrire comme un espace pertinent de réflexion, de concertation et d’analyse des réalités locales.</w:t>
      </w:r>
    </w:p>
    <w:p w14:paraId="6568B9BD" w14:textId="77777777" w:rsidR="006E0F8E" w:rsidRPr="00C354C2" w:rsidRDefault="006E0F8E" w:rsidP="009123EF">
      <w:pPr>
        <w:spacing w:line="276" w:lineRule="auto"/>
        <w:jc w:val="both"/>
        <w:rPr>
          <w:rFonts w:ascii="Times New Roman" w:hAnsi="Times New Roman" w:cs="Times New Roman"/>
          <w:lang w:eastAsia="fr-FR"/>
        </w:rPr>
      </w:pPr>
    </w:p>
    <w:p w14:paraId="22AB5E83" w14:textId="64459C10" w:rsidR="000A267E" w:rsidRDefault="000A267E" w:rsidP="00FD4509">
      <w:pPr>
        <w:pStyle w:val="Titre2"/>
      </w:pPr>
      <w:r w:rsidRPr="009123EF">
        <w:t>Définir la santé : repères conceptuels et cadre de référence</w:t>
      </w:r>
    </w:p>
    <w:p w14:paraId="7CBFC716" w14:textId="77777777" w:rsidR="00FB3ECC" w:rsidRPr="009123EF" w:rsidRDefault="00FB3ECC" w:rsidP="00C27B4C">
      <w:pPr>
        <w:pStyle w:val="Stylegrandtitres"/>
        <w:numPr>
          <w:ilvl w:val="0"/>
          <w:numId w:val="0"/>
        </w:numPr>
        <w:ind w:left="1080"/>
      </w:pPr>
    </w:p>
    <w:p w14:paraId="5311C1A8" w14:textId="77777777" w:rsidR="00E7122F" w:rsidRPr="009123EF" w:rsidRDefault="00E7122F" w:rsidP="009123EF">
      <w:pPr>
        <w:spacing w:line="276" w:lineRule="auto"/>
        <w:jc w:val="both"/>
        <w:rPr>
          <w:rFonts w:ascii="Times New Roman" w:hAnsi="Times New Roman" w:cs="Times New Roman"/>
          <w:lang w:eastAsia="fr-FR"/>
        </w:rPr>
      </w:pPr>
      <w:r w:rsidRPr="009123EF">
        <w:rPr>
          <w:rFonts w:ascii="Times New Roman" w:hAnsi="Times New Roman" w:cs="Times New Roman"/>
          <w:lang w:eastAsia="fr-FR"/>
        </w:rPr>
        <w:t>Pour aborder la santé publique à l’échelle d’un territoire, il paraît utile de commencer par clarifier ce que recouvre la notion même de santé, car cette définition constitue le socle commun à partir duquel les acteurs peuvent analyser les besoins de la population et orienter des actions collectives.</w:t>
      </w:r>
    </w:p>
    <w:p w14:paraId="5D04EA03" w14:textId="481119A6" w:rsidR="007E0053" w:rsidRPr="007E0053" w:rsidRDefault="007E0053" w:rsidP="009123EF">
      <w:pPr>
        <w:spacing w:line="276" w:lineRule="auto"/>
        <w:jc w:val="both"/>
        <w:rPr>
          <w:rFonts w:ascii="Times New Roman" w:hAnsi="Times New Roman" w:cs="Times New Roman"/>
          <w:lang w:eastAsia="fr-FR"/>
        </w:rPr>
      </w:pPr>
      <w:r w:rsidRPr="007E0053">
        <w:rPr>
          <w:rFonts w:ascii="Times New Roman" w:hAnsi="Times New Roman" w:cs="Times New Roman"/>
          <w:lang w:eastAsia="fr-FR"/>
        </w:rPr>
        <w:t>Selon la définition proposée par l’Organisation mondiale de la santé en 1946, la santé correspond à « un état de complet bien-être physique, mental et social, et ne consiste pas seulement en une absence de maladie ou d’infirmité ». Cette formulation, souvent mobilisée comme référence générale, élargit le regard porté sur la santé à des dimensions qui dépassent strictement le champ médical.</w:t>
      </w:r>
    </w:p>
    <w:p w14:paraId="20925D64" w14:textId="77777777" w:rsidR="007E0053" w:rsidRPr="007E0053" w:rsidRDefault="007E0053" w:rsidP="009123EF">
      <w:pPr>
        <w:spacing w:line="276" w:lineRule="auto"/>
        <w:jc w:val="both"/>
        <w:rPr>
          <w:rFonts w:ascii="Times New Roman" w:hAnsi="Times New Roman" w:cs="Times New Roman"/>
          <w:lang w:eastAsia="fr-FR"/>
        </w:rPr>
      </w:pPr>
      <w:r w:rsidRPr="007E0053">
        <w:rPr>
          <w:rFonts w:ascii="Times New Roman" w:hAnsi="Times New Roman" w:cs="Times New Roman"/>
          <w:lang w:eastAsia="fr-FR"/>
        </w:rPr>
        <w:t>À partir de cette définition, il est possible d’envisager la santé comme un phénomène influencé par un ensemble de conditions de vie, d’environnements sociaux et de contextes territoriaux. La santé apparaît alors moins comme un état fixe que comme le résultat de multiples interactions : celles liées au parcours individuel, mais aussi celles qui découlent de facteurs sociaux, économiques ou environnementaux.</w:t>
      </w:r>
    </w:p>
    <w:p w14:paraId="2A15992D" w14:textId="77777777" w:rsidR="007E0053" w:rsidRPr="007E0053" w:rsidRDefault="007E0053" w:rsidP="009123EF">
      <w:pPr>
        <w:spacing w:line="276" w:lineRule="auto"/>
        <w:jc w:val="both"/>
        <w:rPr>
          <w:rFonts w:ascii="Times New Roman" w:hAnsi="Times New Roman" w:cs="Times New Roman"/>
          <w:lang w:eastAsia="fr-FR"/>
        </w:rPr>
      </w:pPr>
      <w:r w:rsidRPr="007E0053">
        <w:rPr>
          <w:rFonts w:ascii="Times New Roman" w:hAnsi="Times New Roman" w:cs="Times New Roman"/>
          <w:lang w:eastAsia="fr-FR"/>
        </w:rPr>
        <w:t>Cette approche plus globale invite à considérer que la santé ne se construit pas uniquement dans le système de soins, mais aussi dans les espaces où les personnes vivent, travaillent, étudient ou se déplacent. Elle conduit également à porter attention aux écarts qui peuvent exister entre territoires, puisqu’un même département peut présenter des situations sociales ou environnementales contrastées, susceptibles d’influencer différemment l’état de santé de ses habitants.</w:t>
      </w:r>
    </w:p>
    <w:p w14:paraId="70A02BE4" w14:textId="55D1FBBD" w:rsidR="00461DAF" w:rsidRDefault="004B7E36" w:rsidP="009123EF">
      <w:pPr>
        <w:spacing w:line="276" w:lineRule="auto"/>
        <w:jc w:val="both"/>
        <w:rPr>
          <w:rFonts w:ascii="Times New Roman" w:hAnsi="Times New Roman" w:cs="Times New Roman"/>
          <w:lang w:eastAsia="fr-FR"/>
        </w:rPr>
      </w:pPr>
      <w:r w:rsidRPr="009123EF">
        <w:rPr>
          <w:rFonts w:ascii="Times New Roman" w:hAnsi="Times New Roman" w:cs="Times New Roman"/>
          <w:lang w:eastAsia="fr-FR"/>
        </w:rPr>
        <w:t xml:space="preserve">Dans cette perspective, une instance territoriale comme le Conseil Territorial de Santé peut trouver un point d’appui pour analyser les besoins locaux : comprendre ce que recouvre la notion de santé facilite l’interprétation des différences observées entre populations et nourrit les échanges collectifs autour des priorités territoriales. Il semble également important que les acteurs impliqués partagent une base commune </w:t>
      </w:r>
      <w:r w:rsidRPr="009123EF">
        <w:rPr>
          <w:rFonts w:ascii="Times New Roman" w:hAnsi="Times New Roman" w:cs="Times New Roman"/>
          <w:lang w:eastAsia="fr-FR"/>
        </w:rPr>
        <w:lastRenderedPageBreak/>
        <w:t>de compréhension de la santé publique, afin de disposer d’un cadre de référence cohérent et de pouvoir s’accorder plus facilement sur les enjeux à examiner et les orientations à discuter.</w:t>
      </w:r>
    </w:p>
    <w:p w14:paraId="0E9EA3D4" w14:textId="77777777" w:rsidR="006E0F8E" w:rsidRPr="009123EF" w:rsidRDefault="006E0F8E" w:rsidP="009123EF">
      <w:pPr>
        <w:spacing w:line="276" w:lineRule="auto"/>
        <w:jc w:val="both"/>
        <w:rPr>
          <w:rFonts w:ascii="Times New Roman" w:hAnsi="Times New Roman" w:cs="Times New Roman"/>
          <w:lang w:eastAsia="fr-FR"/>
        </w:rPr>
      </w:pPr>
    </w:p>
    <w:p w14:paraId="4BC0B9D8" w14:textId="4F266DEC" w:rsidR="00461DAF" w:rsidRPr="009123EF" w:rsidRDefault="00461DAF" w:rsidP="00FD4509">
      <w:pPr>
        <w:pStyle w:val="Titre2"/>
      </w:pPr>
      <w:r w:rsidRPr="009123EF">
        <w:t>Les déterminants de santé : inégalités sociales et inégalités en santé</w:t>
      </w:r>
    </w:p>
    <w:p w14:paraId="716D4E1D" w14:textId="77777777" w:rsidR="00EB1491" w:rsidRPr="009123EF" w:rsidRDefault="00EB1491" w:rsidP="009123EF">
      <w:pPr>
        <w:pStyle w:val="NormalWeb"/>
        <w:spacing w:line="276" w:lineRule="auto"/>
        <w:jc w:val="both"/>
      </w:pPr>
      <w:r w:rsidRPr="009123EF">
        <w:t>Une fois la notion de santé posée, l’étape suivante consiste à comprendre les facteurs qui l’influencent. L’examen des déterminants de santé permet en effet d’identifier ce qui, au-delà du système de soins, façonne les écarts observés entre populations et éclaire les enjeux auxquels un Conseil Territorial de Santé peut être confronté.</w:t>
      </w:r>
    </w:p>
    <w:p w14:paraId="4DFCC67E" w14:textId="15477557" w:rsidR="008169EF" w:rsidRPr="008169EF" w:rsidRDefault="008169EF" w:rsidP="009123EF">
      <w:pPr>
        <w:pStyle w:val="NormalWeb"/>
        <w:spacing w:line="276" w:lineRule="auto"/>
        <w:jc w:val="both"/>
      </w:pPr>
      <w:r w:rsidRPr="008169EF">
        <w:t>Les recherches épidémiologiques menées depuis les années 1990 mettent en évidence que la santé d’une population dépend relativement peu du système de soins. Une estimation proposée initialement par McGinnis &amp; Foege (1993), puis affinée par Kindig &amp; Stoddart (2003), suggère la répartition suivante des déterminants de la santé :</w:t>
      </w:r>
    </w:p>
    <w:p w14:paraId="7557A7E3" w14:textId="77777777" w:rsidR="008169EF" w:rsidRPr="008169EF" w:rsidRDefault="008169EF" w:rsidP="009123EF">
      <w:pPr>
        <w:pStyle w:val="NormalWeb"/>
        <w:numPr>
          <w:ilvl w:val="0"/>
          <w:numId w:val="20"/>
        </w:numPr>
        <w:spacing w:line="276" w:lineRule="auto"/>
        <w:jc w:val="both"/>
      </w:pPr>
      <w:r w:rsidRPr="008169EF">
        <w:t>environ 10 % relèveraient du système de soins ;</w:t>
      </w:r>
    </w:p>
    <w:p w14:paraId="3ED0A0AF" w14:textId="77777777" w:rsidR="008169EF" w:rsidRPr="008169EF" w:rsidRDefault="008169EF" w:rsidP="009123EF">
      <w:pPr>
        <w:pStyle w:val="NormalWeb"/>
        <w:numPr>
          <w:ilvl w:val="0"/>
          <w:numId w:val="20"/>
        </w:numPr>
        <w:spacing w:line="276" w:lineRule="auto"/>
        <w:jc w:val="both"/>
      </w:pPr>
      <w:r w:rsidRPr="008169EF">
        <w:t>20 à 30 % seraient liés à des facteurs biologiques ou génétiques ;</w:t>
      </w:r>
    </w:p>
    <w:p w14:paraId="64B11EBB" w14:textId="77777777" w:rsidR="008169EF" w:rsidRPr="008169EF" w:rsidRDefault="008169EF" w:rsidP="009123EF">
      <w:pPr>
        <w:pStyle w:val="NormalWeb"/>
        <w:numPr>
          <w:ilvl w:val="0"/>
          <w:numId w:val="20"/>
        </w:numPr>
        <w:spacing w:line="276" w:lineRule="auto"/>
        <w:jc w:val="both"/>
      </w:pPr>
      <w:r w:rsidRPr="008169EF">
        <w:t>40 à 50 % concerneraient les comportements individuels (alimentation, tabac, activité physique, consommation d’alcool, etc.) ;</w:t>
      </w:r>
    </w:p>
    <w:p w14:paraId="79F4DEDF" w14:textId="76443805" w:rsidR="008169EF" w:rsidRPr="008169EF" w:rsidRDefault="008169EF" w:rsidP="009123EF">
      <w:pPr>
        <w:pStyle w:val="NormalWeb"/>
        <w:numPr>
          <w:ilvl w:val="0"/>
          <w:numId w:val="20"/>
        </w:numPr>
        <w:spacing w:line="276" w:lineRule="auto"/>
        <w:jc w:val="both"/>
      </w:pPr>
      <w:r w:rsidRPr="008169EF">
        <w:t>environ 20 % renverraient à l’environnement social et physique (logement, conditions de travail, qualité de l’air, réseaux sociaux, etc.)</w:t>
      </w:r>
      <w:r w:rsidR="00D63C08">
        <w:t xml:space="preserve"> </w:t>
      </w:r>
      <w:r w:rsidR="00D63C08" w:rsidRPr="00D63C08">
        <w:t>ainsi qu’à des facteurs culturels, entendus comme l’ensemble des normes, représentations, pratiques et rapports au corps, à la santé et aux institutions qui influencent les comportements et les trajectoires de vie.</w:t>
      </w:r>
    </w:p>
    <w:p w14:paraId="42170347" w14:textId="71C87FBA" w:rsidR="008169EF" w:rsidRPr="008169EF" w:rsidRDefault="008169EF" w:rsidP="009123EF">
      <w:pPr>
        <w:pStyle w:val="NormalWeb"/>
        <w:spacing w:line="276" w:lineRule="auto"/>
        <w:jc w:val="both"/>
      </w:pPr>
      <w:r w:rsidRPr="008169EF">
        <w:t>Cette estimation est devenue une référence largement mobilisée dans les travaux de santé publique, non pour fournir une mesure absolue, mais pour rappeler que les soins, bien qu’indispensables, n’expliquent qu’une fraction limitée de l’état de santé d’une population. La majorité des déterminants repose sur les conditions de vie et sur les environnements dans lesquels les individus évoluent</w:t>
      </w:r>
      <w:r w:rsidR="00CE76AA">
        <w:t xml:space="preserve">, </w:t>
      </w:r>
    </w:p>
    <w:p w14:paraId="1FAF9E3A" w14:textId="485A6DE3" w:rsidR="00055E3D" w:rsidRPr="009123EF" w:rsidRDefault="00055E3D" w:rsidP="009123EF">
      <w:pPr>
        <w:pStyle w:val="NormalWeb"/>
        <w:spacing w:line="276" w:lineRule="auto"/>
        <w:jc w:val="both"/>
      </w:pPr>
      <w:r w:rsidRPr="009123EF">
        <w:t>Ce constat rejoint le modèle développé par Dahlgren et Whitehead (1991), qui représente les déterminants de santé sous forme de couches concentriques : caractéristiques individuelles, modes de vie, réseaux sociaux, conditions de vie et de travail, puis facteurs structurels comme le revenu, l’éducation, l’emploi ou le logement. Ce cadre, largement mobilisé à l’échelle internationale, souligne que la santé résulte d’interactions multiples entre les individus et les contextes dans lesquels ils évoluent</w:t>
      </w:r>
      <w:r w:rsidR="00F55573">
        <w:t xml:space="preserve">, </w:t>
      </w:r>
      <w:r w:rsidR="00F55573" w:rsidRPr="00F55573">
        <w:t>incluant des dimensions sociales, économiques, environnementales mais aussi culturelles, qui influencent les modes de vie, les pratiques de prévention et les rapports au système de soins.</w:t>
      </w:r>
    </w:p>
    <w:p w14:paraId="2F55E479" w14:textId="595F402A" w:rsidR="00055E3D" w:rsidRPr="009123EF" w:rsidRDefault="00055E3D" w:rsidP="009123EF">
      <w:pPr>
        <w:pStyle w:val="NormalWeb"/>
        <w:spacing w:line="276" w:lineRule="auto"/>
        <w:jc w:val="both"/>
      </w:pPr>
      <w:r w:rsidRPr="009123EF">
        <w:t>La Commission des déterminants sociaux de l’OMS, sous la présidence de Michael Marmot (2008), a prolongé ces analyses en examinant la manière dont la distribution inégale de ces conditions de vie produit des écarts de santé. L’idée de gradient social y est centrale : plus les personnes se situent dans des positions sociales fragilisées, plus elles sont exposées à des environnements, des contraintes et des risques susceptibles d’affecter leur santé</w:t>
      </w:r>
      <w:r w:rsidR="00FB52F7">
        <w:t xml:space="preserve">. </w:t>
      </w:r>
      <w:r w:rsidR="00FB52F7" w:rsidRPr="00FB52F7">
        <w:t xml:space="preserve">Ces positions influencent également l’accès aux ressources culturelles, </w:t>
      </w:r>
      <w:r w:rsidR="00FB52F7" w:rsidRPr="00FB52F7">
        <w:lastRenderedPageBreak/>
        <w:t>au niveau d’éducation, à la compréhension des messages de prévention et à la capacité à mobiliser les dispositifs existants, contribuant ainsi à la persistance des écarts de santé.</w:t>
      </w:r>
    </w:p>
    <w:p w14:paraId="0D2AC1CA" w14:textId="2690E9A4" w:rsidR="00055E3D" w:rsidRPr="009123EF" w:rsidRDefault="00DE7184" w:rsidP="009123EF">
      <w:pPr>
        <w:pStyle w:val="NormalWeb"/>
        <w:spacing w:line="276" w:lineRule="auto"/>
        <w:jc w:val="both"/>
      </w:pPr>
      <w:r w:rsidRPr="00DE7184">
        <w:t>Dans certains territoires, les conditions sociales tendent également à se structurer dans l’espace. Plusieurs travaux en sociologie urbaine, notamment ceux de Christophe Guilluy, décrivent ces recompositions qui peuvent conduire à des formes de ségrégation socio-spatiale. Dans ces configurations, les inégalités sociales se territori</w:t>
      </w:r>
      <w:r w:rsidR="00EF223C">
        <w:t>alisent</w:t>
      </w:r>
      <w:r w:rsidRPr="00DE7184">
        <w:t xml:space="preserve"> progressivement, et cette concentration de facteurs défavorables se traduit souvent par des écarts de santé entre groupes de population ou entre communes. Ces mécanismes, qui articulent dimensions sociales, territoriales et sanitaires, constituent l’un des fils conducteurs des analyses présentées dans la suite de cette partie.</w:t>
      </w:r>
    </w:p>
    <w:p w14:paraId="3C590EF7" w14:textId="77777777" w:rsidR="00055E3D" w:rsidRPr="009123EF" w:rsidRDefault="00055E3D" w:rsidP="009123EF">
      <w:pPr>
        <w:pStyle w:val="NormalWeb"/>
        <w:spacing w:line="276" w:lineRule="auto"/>
        <w:jc w:val="both"/>
      </w:pPr>
      <w:r w:rsidRPr="009123EF">
        <w:t>Pour un Conseil Territorial de Santé, l’intérêt de cette approche est de pouvoir interpréter les écarts sanitaires autrement que par la seule disponibilité de l’offre de soins. L’analyse des déterminants de santé offre un cadre pour comprendre comment des facteurs liés au logement, à l’emploi, à la mobilité, à l’environnement ou aux ressources locales influencent la santé des habitants. Elle permet aussi de repérer des leviers d’action qui ne relèvent pas exclusivement du champ sanitaire, mais qui peuvent contribuer à réduire les écarts entre territoires.</w:t>
      </w:r>
    </w:p>
    <w:p w14:paraId="4D02FDEB" w14:textId="40AB2638" w:rsidR="009123EF" w:rsidRPr="009123EF" w:rsidRDefault="009123EF" w:rsidP="009123EF">
      <w:pPr>
        <w:spacing w:line="276" w:lineRule="auto"/>
        <w:jc w:val="both"/>
        <w:rPr>
          <w:rFonts w:ascii="Times New Roman" w:eastAsia="Times New Roman" w:hAnsi="Times New Roman" w:cs="Times New Roman"/>
          <w:kern w:val="0"/>
          <w:lang w:eastAsia="fr-FR"/>
          <w14:ligatures w14:val="none"/>
        </w:rPr>
      </w:pPr>
      <w:r w:rsidRPr="009123EF">
        <w:rPr>
          <w:rFonts w:ascii="Times New Roman" w:eastAsia="Times New Roman" w:hAnsi="Times New Roman" w:cs="Times New Roman"/>
          <w:kern w:val="0"/>
          <w:lang w:eastAsia="fr-FR"/>
          <w14:ligatures w14:val="none"/>
        </w:rPr>
        <w:t>En ce sens, l’étude des déterminants de santé constitue un appui essentiel pour situer les discussions du CTS. Elle permet d’éclairer l’origine des écarts observés et de nourrir des réflexions collectives sur les priorités à envisager à l’échelle locale, dans une perspective qui dépasse la seule organisation de l’offre de soins.</w:t>
      </w:r>
      <w:r w:rsidR="00EA425C">
        <w:rPr>
          <w:rFonts w:ascii="Times New Roman" w:eastAsia="Times New Roman" w:hAnsi="Times New Roman" w:cs="Times New Roman"/>
          <w:kern w:val="0"/>
          <w:lang w:eastAsia="fr-FR"/>
          <w14:ligatures w14:val="none"/>
        </w:rPr>
        <w:t xml:space="preserve"> </w:t>
      </w:r>
      <w:r w:rsidR="00EA425C" w:rsidRPr="00EA425C">
        <w:rPr>
          <w:rFonts w:ascii="Times New Roman" w:eastAsia="Times New Roman" w:hAnsi="Times New Roman" w:cs="Times New Roman"/>
          <w:kern w:val="0"/>
          <w:lang w:eastAsia="fr-FR"/>
          <w14:ligatures w14:val="none"/>
        </w:rPr>
        <w:t>Elle met en évidence le fait que ces écarts ne relèvent pas uniquement de facteurs sanitaires, mais résultent de la combinaison de déterminants sociaux, économiques, environnementaux et culturels qui s’inscrivent dans les conditions de vie et les territoires.</w:t>
      </w:r>
    </w:p>
    <w:p w14:paraId="0C59EBEF" w14:textId="09FDC8EE" w:rsidR="00055E3D" w:rsidRPr="009123EF" w:rsidRDefault="009123EF" w:rsidP="009123EF">
      <w:pPr>
        <w:spacing w:line="276" w:lineRule="auto"/>
        <w:jc w:val="both"/>
        <w:rPr>
          <w:rFonts w:ascii="Times New Roman" w:eastAsia="Times New Roman" w:hAnsi="Times New Roman" w:cs="Times New Roman"/>
          <w:kern w:val="0"/>
          <w:lang w:eastAsia="fr-FR"/>
          <w14:ligatures w14:val="none"/>
        </w:rPr>
      </w:pPr>
      <w:r w:rsidRPr="009123EF">
        <w:rPr>
          <w:rFonts w:ascii="Times New Roman" w:eastAsia="Times New Roman" w:hAnsi="Times New Roman" w:cs="Times New Roman"/>
          <w:kern w:val="0"/>
          <w:lang w:eastAsia="fr-FR"/>
          <w14:ligatures w14:val="none"/>
        </w:rPr>
        <w:t>L’analyse des déterminants conduit ainsi naturellement à interroger la manière dont ces facteurs sociaux et territoriaux se traduisent en inégalités de santé. Cette articulation entre conditions de vie, territoires et santé, au cœur des politiques publiques contemporaines, fera l’objet d’un développement spécifique dans la troisième partie, consacrée aux inégalités sociales et territoriales de santé.</w:t>
      </w:r>
    </w:p>
    <w:p w14:paraId="17692F21" w14:textId="77777777" w:rsidR="009123EF" w:rsidRPr="009123EF" w:rsidRDefault="009123EF" w:rsidP="009123EF">
      <w:pPr>
        <w:spacing w:line="276" w:lineRule="auto"/>
        <w:jc w:val="both"/>
        <w:rPr>
          <w:rFonts w:ascii="Times New Roman" w:eastAsia="Times New Roman" w:hAnsi="Times New Roman" w:cs="Times New Roman"/>
          <w:kern w:val="0"/>
          <w:lang w:eastAsia="fr-FR"/>
          <w14:ligatures w14:val="none"/>
        </w:rPr>
      </w:pPr>
    </w:p>
    <w:p w14:paraId="7289AACA" w14:textId="4F070AB7" w:rsidR="00461DAF" w:rsidRPr="00A162DE" w:rsidRDefault="00461DAF" w:rsidP="00FD4509">
      <w:pPr>
        <w:pStyle w:val="Titre2"/>
      </w:pPr>
      <w:r w:rsidRPr="00A162DE">
        <w:t>Les indicateurs</w:t>
      </w:r>
      <w:r w:rsidR="003446DA" w:rsidRPr="00A162DE">
        <w:t xml:space="preserve"> de santé</w:t>
      </w:r>
      <w:r w:rsidR="00672F4B" w:rsidRPr="00A162DE">
        <w:t xml:space="preserve"> : outils d’analyse et de pilotage territorial</w:t>
      </w:r>
    </w:p>
    <w:p w14:paraId="7393F283" w14:textId="77777777" w:rsidR="00CE3573" w:rsidRPr="009123EF" w:rsidRDefault="00CE3573" w:rsidP="009123EF">
      <w:pPr>
        <w:pStyle w:val="NormalWeb"/>
        <w:spacing w:line="276" w:lineRule="auto"/>
        <w:jc w:val="both"/>
      </w:pPr>
      <w:r w:rsidRPr="009123EF">
        <w:t>Comme les déterminants de santé sont difficiles à observer directement, les indicateurs constituent un moyen de repérer des écarts ou des fragilités territoriales. Leur rôle n’est pas d’offrir une vérité définitive, mais de fournir des repères partagés qui facilitent l’analyse et alimentent les échanges entre acteurs du territoire.</w:t>
      </w:r>
    </w:p>
    <w:p w14:paraId="0AD00DD8" w14:textId="18A32F67" w:rsidR="009F2519" w:rsidRPr="009123EF" w:rsidRDefault="001855CC" w:rsidP="009123EF">
      <w:pPr>
        <w:pStyle w:val="NormalWeb"/>
        <w:spacing w:line="276" w:lineRule="auto"/>
        <w:jc w:val="both"/>
      </w:pPr>
      <w:r w:rsidRPr="001855CC">
        <w:t>Les indicateurs couramment mobilisés en santé publique – taux de pauvreté, mortalité prématurée, prévalence des maladies chroniques, densité médicale, renoncement aux soins ou accès aux services – ne renvoient pas uniquement à des chiffres ou à des données abstraites. Ils traduisent des réalités sociales, économiques et territoriales concrètes, et rendent visibles des situations vécues par les populations.</w:t>
      </w:r>
      <w:r>
        <w:t xml:space="preserve"> </w:t>
      </w:r>
      <w:r w:rsidR="009F2519" w:rsidRPr="009123EF">
        <w:t xml:space="preserve">Ils permettent </w:t>
      </w:r>
      <w:r w:rsidR="00543D39">
        <w:t xml:space="preserve">ainsi, </w:t>
      </w:r>
      <w:r w:rsidR="009F2519" w:rsidRPr="009123EF">
        <w:t xml:space="preserve">de comprendre comment les déterminants sociaux, économiques ou environnementaux se manifestent concrètement dans la vie des populations. Leur utilité réside aussi dans leur capacité à dialoguer </w:t>
      </w:r>
      <w:r w:rsidR="009F2519" w:rsidRPr="009123EF">
        <w:lastRenderedPageBreak/>
        <w:t>entre eux : un indicateur isolé renseigne partiellement, tandis que des indicateurs croisés apportent une lecture plus complète des dynamiques territoriales.</w:t>
      </w:r>
    </w:p>
    <w:p w14:paraId="6AAFCF5D" w14:textId="77777777" w:rsidR="009F2519" w:rsidRPr="009123EF" w:rsidRDefault="009F2519" w:rsidP="009123EF">
      <w:pPr>
        <w:pStyle w:val="NormalWeb"/>
        <w:spacing w:line="276" w:lineRule="auto"/>
        <w:jc w:val="both"/>
      </w:pPr>
      <w:r w:rsidRPr="009123EF">
        <w:t>Certains outils synthétiques, comme l’Indice de Développement Humain 2 (IDH2), proposent une vision globale en combinant des dimensions liées à la santé, au revenu et à l’éducation. Leur usage nécessite toutefois une prudence méthodologique : calculés à l’échelle communale, ils peuvent ne pas refléter les réalités internes d’un territoire où plusieurs quartiers, regroupant chacun des populations nombreuses, présentent des profils sociaux très différents. Cette question de la « maille » d’analyse est centrale, car un même indicateur peut offrir une lecture pertinente à l’échelle d’un quartier et devenir beaucoup moins fiable lorsqu’il est utilisé à une échelle plus large.</w:t>
      </w:r>
    </w:p>
    <w:p w14:paraId="4C5F3132" w14:textId="1426B5DE" w:rsidR="006F50CD" w:rsidRPr="009123EF" w:rsidRDefault="009F2519" w:rsidP="009123EF">
      <w:pPr>
        <w:pStyle w:val="NormalWeb"/>
        <w:spacing w:line="276" w:lineRule="auto"/>
        <w:jc w:val="both"/>
      </w:pPr>
      <w:r w:rsidRPr="009123EF">
        <w:t xml:space="preserve">Pour </w:t>
      </w:r>
      <w:r w:rsidR="007D51CD" w:rsidRPr="009123EF">
        <w:t>le CTS</w:t>
      </w:r>
      <w:r w:rsidRPr="009123EF">
        <w:t>, l’intérêt des indicateurs ne réside donc pas dans leur valeur absolue, mais dans la manière dont ils structurent la réflexion collective. Ils permettent d’objectiver des constats, de repérer des zones où l’action publique semble particulièrement nécessaire et de soutenir des échanges entre acteurs venant d’horizons différents. En ce sens, les indicateurs constituent moins une finalité qu’un support de gouvernance locale : ils éclairent la compréhension partagée d’un territoire et contribuent à orienter les décisions visant à réduire les écarts sociaux et territoriaux de santé.</w:t>
      </w:r>
    </w:p>
    <w:p w14:paraId="36443B4C" w14:textId="72BD2F54" w:rsidR="008867D3" w:rsidRPr="009123EF" w:rsidRDefault="008867D3" w:rsidP="00FD4509">
      <w:pPr>
        <w:pStyle w:val="Titre2"/>
        <w:rPr>
          <w:rFonts w:eastAsiaTheme="minorHAnsi"/>
        </w:rPr>
      </w:pPr>
      <w:r w:rsidRPr="009123EF">
        <w:rPr>
          <w:rFonts w:eastAsiaTheme="minorHAnsi"/>
        </w:rPr>
        <w:t>Enjeux contemporains de santé publique et action territoriale</w:t>
      </w:r>
    </w:p>
    <w:p w14:paraId="16D2CC9D" w14:textId="2D2D19D1" w:rsidR="003242DE" w:rsidRPr="009123EF" w:rsidRDefault="003242DE" w:rsidP="009123EF">
      <w:pPr>
        <w:pStyle w:val="NormalWeb"/>
        <w:spacing w:line="276" w:lineRule="auto"/>
        <w:jc w:val="both"/>
      </w:pPr>
      <w:r w:rsidRPr="009123EF">
        <w:t>Pour comprendre dans quel contexte s’inscrit aujourd’hui l’action territoriale en santé, il semble utile de rappeler quelques enjeux qui structurent les politiques publiques actuelles. Ces dynamiques, décrites notamment dans les travaux nationaux et régionaux, influencent la manière dont les territoires sont amenés à organiser leurs réponses et éclairent les difficultés ou les besoins qui y émergent. Les situer permet également de mieux comprendre pourquoi des espaces de concertation comme le CTS ont progressivement gagné en importance, puisqu’ils constituent l’un des lieux où ces enjeux peuvent être discutés, partagés et traduits à l’échelle locale.</w:t>
      </w:r>
    </w:p>
    <w:p w14:paraId="6E8F5B4F" w14:textId="30D28205" w:rsidR="000F0DDE" w:rsidRPr="009123EF" w:rsidRDefault="000F0DDE" w:rsidP="009123EF">
      <w:pPr>
        <w:pStyle w:val="NormalWeb"/>
        <w:spacing w:line="276" w:lineRule="auto"/>
        <w:jc w:val="both"/>
      </w:pPr>
      <w:r w:rsidRPr="009123EF">
        <w:t>Les travaux nationaux et régionaux, notamment ceux portés par l’ARS Île-de-France à travers le Projet régional de santé et différents diagnostics thématiques, mettent en évidence plusieurs enjeux qui semblent structurer de manière durable les besoins de santé des populations. Ces tendances contribuent à situer les réalités auxquelles les territoires doivent répondre collectivement.</w:t>
      </w:r>
    </w:p>
    <w:p w14:paraId="0CAEDCC4" w14:textId="77777777" w:rsidR="000F0DDE" w:rsidRPr="009123EF" w:rsidRDefault="000F0DDE" w:rsidP="009123EF">
      <w:pPr>
        <w:pStyle w:val="NormalWeb"/>
        <w:spacing w:line="276" w:lineRule="auto"/>
        <w:jc w:val="both"/>
      </w:pPr>
      <w:r w:rsidRPr="009123EF">
        <w:t xml:space="preserve">Le </w:t>
      </w:r>
      <w:r w:rsidRPr="009123EF">
        <w:rPr>
          <w:rStyle w:val="lev"/>
          <w:rFonts w:eastAsiaTheme="majorEastAsia"/>
          <w:b w:val="0"/>
          <w:bCs w:val="0"/>
        </w:rPr>
        <w:t>vieillissement de la population</w:t>
      </w:r>
      <w:r w:rsidRPr="009123EF">
        <w:t xml:space="preserve"> apparaît comme l’un des phénomènes les plus marquants. Il s’accompagne d’une augmentation des maladies chroniques, des situations de dépendance et des besoins d’accompagnement médico-social. Ces évolutions interrogent les capacités des territoires à organiser des parcours de santé accessibles et continus, en particulier dans les zones où la densité médicale ou les services de proximité sont déjà fragiles.</w:t>
      </w:r>
    </w:p>
    <w:p w14:paraId="2B57F072" w14:textId="77777777" w:rsidR="000F0DDE" w:rsidRPr="009123EF" w:rsidRDefault="000F0DDE" w:rsidP="009123EF">
      <w:pPr>
        <w:pStyle w:val="NormalWeb"/>
        <w:spacing w:line="276" w:lineRule="auto"/>
        <w:jc w:val="both"/>
      </w:pPr>
      <w:r w:rsidRPr="009123EF">
        <w:t xml:space="preserve">La </w:t>
      </w:r>
      <w:r w:rsidRPr="009123EF">
        <w:rPr>
          <w:rStyle w:val="lev"/>
          <w:rFonts w:eastAsiaTheme="majorEastAsia"/>
          <w:b w:val="0"/>
          <w:bCs w:val="0"/>
        </w:rPr>
        <w:t>santé mentale</w:t>
      </w:r>
      <w:r w:rsidRPr="009123EF">
        <w:rPr>
          <w:b/>
          <w:bCs/>
        </w:rPr>
        <w:t>,</w:t>
      </w:r>
      <w:r w:rsidRPr="009123EF">
        <w:t xml:space="preserve"> notamment chez les jeunes, constitue un autre enjeu majeur. Les diagnostics territoriaux et les feuilles de route nationales mettent en évidence une progression des situations de détresse psychique, ainsi que des difficultés d’accès à une offre de soins spécialisée parfois insuffisante ou inégalement répartie. Ces constats rappellent que la santé mentale dépend largement des conditions de vie, de l’environnement social et de la capacité des acteurs à travailler de manière coordonnée.</w:t>
      </w:r>
    </w:p>
    <w:p w14:paraId="67B00374" w14:textId="77777777" w:rsidR="000F0DDE" w:rsidRPr="009123EF" w:rsidRDefault="000F0DDE" w:rsidP="009123EF">
      <w:pPr>
        <w:pStyle w:val="NormalWeb"/>
        <w:spacing w:line="276" w:lineRule="auto"/>
        <w:jc w:val="both"/>
      </w:pPr>
      <w:r w:rsidRPr="009123EF">
        <w:lastRenderedPageBreak/>
        <w:t xml:space="preserve">La </w:t>
      </w:r>
      <w:r w:rsidRPr="009123EF">
        <w:rPr>
          <w:rStyle w:val="lev"/>
          <w:rFonts w:eastAsiaTheme="majorEastAsia"/>
          <w:b w:val="0"/>
          <w:bCs w:val="0"/>
        </w:rPr>
        <w:t>périnatalité</w:t>
      </w:r>
      <w:r w:rsidRPr="009123EF">
        <w:t xml:space="preserve"> représente également un domaine de vigilance. Les analyses régionales soulignent des écarts entre territoires dans le suivi des grossesses, les conditions de vie des familles ou la santé des nourrissons. Ces éléments sont d’autant plus importants que les travaux sur les « 1000 premiers jours » laissent penser que les environnements précoces jouent un rôle durable sur les trajectoires de santé.</w:t>
      </w:r>
    </w:p>
    <w:p w14:paraId="66816243" w14:textId="77777777" w:rsidR="000F0DDE" w:rsidRPr="009123EF" w:rsidRDefault="000F0DDE" w:rsidP="009123EF">
      <w:pPr>
        <w:pStyle w:val="NormalWeb"/>
        <w:spacing w:line="276" w:lineRule="auto"/>
        <w:jc w:val="both"/>
      </w:pPr>
      <w:r w:rsidRPr="009123EF">
        <w:t xml:space="preserve">Les </w:t>
      </w:r>
      <w:r w:rsidRPr="009123EF">
        <w:rPr>
          <w:rStyle w:val="lev"/>
          <w:rFonts w:eastAsiaTheme="majorEastAsia"/>
          <w:b w:val="0"/>
          <w:bCs w:val="0"/>
        </w:rPr>
        <w:t>situations de handicap</w:t>
      </w:r>
      <w:r w:rsidRPr="009123EF">
        <w:t xml:space="preserve"> constituent également un enjeu transversal. Les études mettent en évidence des ruptures de parcours, des difficultés d’accès aux soins courants, ainsi qu’une coordination parfois insuffisante entre les secteurs sanitaire, social et médico-social. Ces difficultés semblent d’autant plus marquées que les besoins impliquent de multiples acteurs et que les ressources territoriales sont inégalement réparties.</w:t>
      </w:r>
    </w:p>
    <w:p w14:paraId="0CA39E7A" w14:textId="77777777" w:rsidR="000F0DDE" w:rsidRPr="009123EF" w:rsidRDefault="000F0DDE" w:rsidP="009123EF">
      <w:pPr>
        <w:pStyle w:val="NormalWeb"/>
        <w:spacing w:line="276" w:lineRule="auto"/>
        <w:jc w:val="both"/>
      </w:pPr>
      <w:r w:rsidRPr="009123EF">
        <w:t xml:space="preserve">La </w:t>
      </w:r>
      <w:r w:rsidRPr="009123EF">
        <w:rPr>
          <w:rStyle w:val="lev"/>
          <w:rFonts w:eastAsiaTheme="majorEastAsia"/>
          <w:b w:val="0"/>
          <w:bCs w:val="0"/>
        </w:rPr>
        <w:t>santé environnementale</w:t>
      </w:r>
      <w:r w:rsidRPr="009123EF">
        <w:t xml:space="preserve"> occupe une place croissante dans les orientations régionales, notamment dans les zones denses où les expositions à la pollution atmosphérique, au bruit ou à l’habitat dégradé peuvent être plus concentrées. Ces expositions sont souvent liées à des situations sociales spécifiques, ce qui peut contribuer à renforcer des inégalités territoriales déjà existantes.</w:t>
      </w:r>
    </w:p>
    <w:p w14:paraId="7C0364A4" w14:textId="77777777" w:rsidR="000F0DDE" w:rsidRPr="009123EF" w:rsidRDefault="000F0DDE" w:rsidP="009123EF">
      <w:pPr>
        <w:pStyle w:val="NormalWeb"/>
        <w:spacing w:line="276" w:lineRule="auto"/>
        <w:jc w:val="both"/>
      </w:pPr>
      <w:r w:rsidRPr="009123EF">
        <w:t>Enfin, la question de l’</w:t>
      </w:r>
      <w:r w:rsidRPr="009123EF">
        <w:rPr>
          <w:rStyle w:val="lev"/>
          <w:rFonts w:eastAsiaTheme="majorEastAsia"/>
          <w:b w:val="0"/>
          <w:bCs w:val="0"/>
        </w:rPr>
        <w:t>accès aux soins</w:t>
      </w:r>
      <w:r w:rsidRPr="009123EF">
        <w:rPr>
          <w:b/>
          <w:bCs/>
        </w:rPr>
        <w:t xml:space="preserve"> </w:t>
      </w:r>
      <w:r w:rsidRPr="009123EF">
        <w:t>demeure centrale. Les travaux régionaux pointent des contrastes importants dans la répartition des professionnels de santé, les temps d’accès, les délais pour obtenir un rendez-vous ou les difficultés rencontrées par certains publics dans la compréhension et l’utilisation du système de santé. Ces enjeux rejoignent les réflexions nationales sur la démographie médicale, la planification des formations et l’organisation territoriale de l’offre.</w:t>
      </w:r>
    </w:p>
    <w:p w14:paraId="2938DBDE" w14:textId="77777777" w:rsidR="000F0DDE" w:rsidRPr="009123EF" w:rsidRDefault="000F0DDE" w:rsidP="009123EF">
      <w:pPr>
        <w:pStyle w:val="NormalWeb"/>
        <w:spacing w:line="276" w:lineRule="auto"/>
        <w:jc w:val="both"/>
      </w:pPr>
      <w:r w:rsidRPr="009123EF">
        <w:t>D’autres enjeux existent également — comme la santé en milieu pénitentiaire, les addictions, la santé des jeunes, la santé sexuelle ou la prévention des violences — et peuvent prendre une importance variable selon les territoires. Ils rappellent que la santé publique s’inscrit dans une approche large, qui mobilise des acteurs issus de secteurs parfois très éloignés du champ sanitaire.</w:t>
      </w:r>
    </w:p>
    <w:p w14:paraId="779C4C7A" w14:textId="77777777" w:rsidR="00435DD7" w:rsidRPr="00435DD7" w:rsidRDefault="00435DD7" w:rsidP="009123EF">
      <w:pPr>
        <w:spacing w:line="276" w:lineRule="auto"/>
        <w:jc w:val="both"/>
        <w:rPr>
          <w:rFonts w:ascii="Times New Roman" w:eastAsia="Times New Roman" w:hAnsi="Times New Roman" w:cs="Times New Roman"/>
          <w:kern w:val="0"/>
          <w:lang w:eastAsia="fr-FR"/>
          <w14:ligatures w14:val="none"/>
        </w:rPr>
      </w:pPr>
      <w:r w:rsidRPr="00435DD7">
        <w:rPr>
          <w:rFonts w:ascii="Times New Roman" w:eastAsia="Times New Roman" w:hAnsi="Times New Roman" w:cs="Times New Roman"/>
          <w:kern w:val="0"/>
          <w:lang w:eastAsia="fr-FR"/>
          <w14:ligatures w14:val="none"/>
        </w:rPr>
        <w:t>Au-delà des enjeux sanitaires et sociaux, la santé publique soulève également des enjeux de gouvernance. La manière dont sont définies les priorités, organisés les espaces de concertation et réparties les responsabilités entre acteurs institutionnels influence directement la capacité des politiques publiques à répondre aux besoins des populations.</w:t>
      </w:r>
    </w:p>
    <w:p w14:paraId="422ED7DC" w14:textId="77777777" w:rsidR="00435DD7" w:rsidRPr="00435DD7" w:rsidRDefault="00435DD7" w:rsidP="009123EF">
      <w:pPr>
        <w:spacing w:line="276" w:lineRule="auto"/>
        <w:jc w:val="both"/>
        <w:rPr>
          <w:rFonts w:ascii="Times New Roman" w:eastAsia="Times New Roman" w:hAnsi="Times New Roman" w:cs="Times New Roman"/>
          <w:kern w:val="0"/>
          <w:lang w:eastAsia="fr-FR"/>
          <w14:ligatures w14:val="none"/>
        </w:rPr>
      </w:pPr>
      <w:r w:rsidRPr="00435DD7">
        <w:rPr>
          <w:rFonts w:ascii="Times New Roman" w:eastAsia="Times New Roman" w:hAnsi="Times New Roman" w:cs="Times New Roman"/>
          <w:kern w:val="0"/>
          <w:lang w:eastAsia="fr-FR"/>
          <w14:ligatures w14:val="none"/>
        </w:rPr>
        <w:t>Dans ce contexte, les dispositifs chargés de structurer le dialogue territorial ne constituent pas de simples outils techniques, mais des lieux où se jouent des arbitrages et des équilibres institutionnels. La place qui leur est accordée, les prérogatives qui leur sont reconnues et la portée effective de leurs travaux peuvent peser sur l’orientation des politiques de santé et sur leur capacité à intégrer une lecture territoriale et transversale des enjeux.</w:t>
      </w:r>
    </w:p>
    <w:p w14:paraId="1A1BF05C" w14:textId="77777777" w:rsidR="00435DD7" w:rsidRPr="00435DD7" w:rsidRDefault="00435DD7" w:rsidP="009123EF">
      <w:pPr>
        <w:spacing w:line="276" w:lineRule="auto"/>
        <w:jc w:val="both"/>
        <w:rPr>
          <w:rFonts w:ascii="Times New Roman" w:eastAsia="Times New Roman" w:hAnsi="Times New Roman" w:cs="Times New Roman"/>
          <w:kern w:val="0"/>
          <w:lang w:eastAsia="fr-FR"/>
          <w14:ligatures w14:val="none"/>
        </w:rPr>
      </w:pPr>
      <w:r w:rsidRPr="00435DD7">
        <w:rPr>
          <w:rFonts w:ascii="Times New Roman" w:eastAsia="Times New Roman" w:hAnsi="Times New Roman" w:cs="Times New Roman"/>
          <w:kern w:val="0"/>
          <w:lang w:eastAsia="fr-FR"/>
          <w14:ligatures w14:val="none"/>
        </w:rPr>
        <w:t>Cette dimension invite ainsi à s’intéresser au rôle des instances de démocratie en santé dans la conception et la mise en œuvre des politiques publiques locales, et ouvre la réflexion sur le positionnement et les fonctions du Conseil Territorial de Santé.</w:t>
      </w:r>
    </w:p>
    <w:p w14:paraId="356890F3" w14:textId="77777777" w:rsidR="000F0DDE" w:rsidRPr="009123EF" w:rsidRDefault="000F0DDE" w:rsidP="009123EF">
      <w:pPr>
        <w:spacing w:line="276" w:lineRule="auto"/>
        <w:jc w:val="both"/>
        <w:rPr>
          <w:rFonts w:ascii="Times New Roman" w:hAnsi="Times New Roman" w:cs="Times New Roman"/>
          <w:lang w:eastAsia="fr-FR"/>
        </w:rPr>
      </w:pPr>
    </w:p>
    <w:p w14:paraId="725E6485" w14:textId="0C6A2521" w:rsidR="00461DAF" w:rsidRPr="009123EF" w:rsidRDefault="00461DAF" w:rsidP="00FD4509">
      <w:pPr>
        <w:pStyle w:val="Titre1"/>
      </w:pPr>
      <w:bookmarkStart w:id="7" w:name="_Toc217385605"/>
      <w:r w:rsidRPr="009123EF">
        <w:lastRenderedPageBreak/>
        <w:t>Le Conseil Territorial de Santé : cadre, missions et fondements démocratiques</w:t>
      </w:r>
      <w:bookmarkEnd w:id="7"/>
    </w:p>
    <w:p w14:paraId="1A8E17DF" w14:textId="2EDF77FF" w:rsidR="00755A3C" w:rsidRPr="00755A3C" w:rsidRDefault="00755A3C" w:rsidP="009123EF">
      <w:pPr>
        <w:spacing w:line="276" w:lineRule="auto"/>
        <w:jc w:val="both"/>
        <w:rPr>
          <w:rFonts w:ascii="Times New Roman" w:hAnsi="Times New Roman" w:cs="Times New Roman"/>
        </w:rPr>
      </w:pPr>
      <w:r w:rsidRPr="00755A3C">
        <w:rPr>
          <w:rFonts w:ascii="Times New Roman" w:hAnsi="Times New Roman" w:cs="Times New Roman"/>
        </w:rPr>
        <w:t xml:space="preserve">Après avoir posé les principaux repères de la santé publique et mis en évidence les enjeux qui structurent aujourd’hui les politiques nationales et régionales, il apparaît nécessaire de s’intéresser à l’instance qui, à l’échelle territoriale, est précisément chargée de mettre ces enjeux en discussion et en perspective : le Conseil Territorial de Santé. </w:t>
      </w:r>
    </w:p>
    <w:p w14:paraId="58367DFB" w14:textId="6117F2FB" w:rsidR="00755A3C" w:rsidRPr="00755A3C" w:rsidRDefault="00755A3C" w:rsidP="009123EF">
      <w:pPr>
        <w:spacing w:line="276" w:lineRule="auto"/>
        <w:jc w:val="both"/>
        <w:rPr>
          <w:rFonts w:ascii="Times New Roman" w:hAnsi="Times New Roman" w:cs="Times New Roman"/>
        </w:rPr>
      </w:pPr>
      <w:r w:rsidRPr="00755A3C">
        <w:rPr>
          <w:rFonts w:ascii="Times New Roman" w:hAnsi="Times New Roman" w:cs="Times New Roman"/>
        </w:rPr>
        <w:t xml:space="preserve">Inscrit dans un cadre institutionnel défini, le CTS ne se réduit toutefois pas à une instance </w:t>
      </w:r>
      <w:r w:rsidR="00BF17B9">
        <w:rPr>
          <w:rFonts w:ascii="Times New Roman" w:hAnsi="Times New Roman" w:cs="Times New Roman"/>
        </w:rPr>
        <w:t>légale</w:t>
      </w:r>
      <w:r w:rsidRPr="00755A3C">
        <w:rPr>
          <w:rFonts w:ascii="Times New Roman" w:hAnsi="Times New Roman" w:cs="Times New Roman"/>
        </w:rPr>
        <w:t>. Son fonctionnement repose également sur des principes liés à la démocratie en santé, à la participation des acteurs et à la prise en compte des déterminants sociaux et territoriaux de la santé. À ce titre, il peut être envisagé comme un lieu d’articulation entre politiques publiques, dynamiques locales et expression des besoins des populations.</w:t>
      </w:r>
    </w:p>
    <w:p w14:paraId="4B6650A9" w14:textId="4C322ED9" w:rsidR="00755A3C" w:rsidRDefault="00755A3C" w:rsidP="009123EF">
      <w:pPr>
        <w:spacing w:line="276" w:lineRule="auto"/>
        <w:jc w:val="both"/>
        <w:rPr>
          <w:rFonts w:ascii="Times New Roman" w:hAnsi="Times New Roman" w:cs="Times New Roman"/>
        </w:rPr>
      </w:pPr>
      <w:r w:rsidRPr="00755A3C">
        <w:rPr>
          <w:rFonts w:ascii="Times New Roman" w:hAnsi="Times New Roman" w:cs="Times New Roman"/>
        </w:rPr>
        <w:t>Comprendre l’origine du CTS, ses missions, les valeurs qui fondent son action et la manière dont il s’insère dans l’écosystème institutionnel permet ainsi d’éclairer son rôle potentiel dans la conception et l’orientation des politiques publiques locales de santé, dans une logique attentive aux territoires et aux conditions de vie.</w:t>
      </w:r>
    </w:p>
    <w:p w14:paraId="49A04A95" w14:textId="77777777" w:rsidR="006E0F8E" w:rsidRPr="009123EF" w:rsidRDefault="006E0F8E" w:rsidP="009123EF">
      <w:pPr>
        <w:spacing w:line="276" w:lineRule="auto"/>
        <w:jc w:val="both"/>
        <w:rPr>
          <w:rFonts w:ascii="Times New Roman" w:hAnsi="Times New Roman" w:cs="Times New Roman"/>
        </w:rPr>
      </w:pPr>
    </w:p>
    <w:p w14:paraId="53F5C906" w14:textId="2C8DABBD" w:rsidR="00A162DE" w:rsidRDefault="008B337E" w:rsidP="006E0F8E">
      <w:pPr>
        <w:pStyle w:val="Titre2"/>
      </w:pPr>
      <w:r w:rsidRPr="009123EF">
        <w:t xml:space="preserve">Origine et cadre légal </w:t>
      </w:r>
    </w:p>
    <w:p w14:paraId="37FE39E3" w14:textId="77777777" w:rsidR="006E0F8E" w:rsidRPr="006E0F8E" w:rsidRDefault="006E0F8E" w:rsidP="006E0F8E">
      <w:pPr>
        <w:rPr>
          <w:lang w:eastAsia="fr-FR"/>
        </w:rPr>
      </w:pPr>
    </w:p>
    <w:p w14:paraId="3A51C63B" w14:textId="77777777" w:rsidR="007A0431" w:rsidRPr="009123EF" w:rsidRDefault="007A0431" w:rsidP="009123EF">
      <w:pPr>
        <w:spacing w:line="276" w:lineRule="auto"/>
        <w:jc w:val="both"/>
        <w:rPr>
          <w:rFonts w:ascii="Times New Roman" w:hAnsi="Times New Roman" w:cs="Times New Roman"/>
        </w:rPr>
      </w:pPr>
      <w:r w:rsidRPr="009123EF">
        <w:rPr>
          <w:rFonts w:ascii="Times New Roman" w:hAnsi="Times New Roman" w:cs="Times New Roman"/>
        </w:rPr>
        <w:t>Pour saisir la place occupée aujourd’hui par le CTS, il peut être utile de revenir brièvement sur son cadre de création et sur les intentions qui ont accompagné sa mise en place. Les textes qui l’ont instauré montrent qu’il s’inscrit dans une évolution progressive de la gouvernance de la santé, marquée par la volonté de rapprocher l’action publique des réalités locales et d’associer davantage les acteurs du territoire aux décisions qui les concernent. C’est à partir de cette dynamique que s’est structuré le dispositif actuel.</w:t>
      </w:r>
    </w:p>
    <w:p w14:paraId="3D33AE31" w14:textId="0A3F4E09" w:rsidR="00110862" w:rsidRPr="009123EF" w:rsidRDefault="00110862" w:rsidP="009123EF">
      <w:pPr>
        <w:spacing w:line="276" w:lineRule="auto"/>
        <w:jc w:val="both"/>
        <w:rPr>
          <w:rFonts w:ascii="Times New Roman" w:hAnsi="Times New Roman" w:cs="Times New Roman"/>
        </w:rPr>
      </w:pPr>
      <w:r w:rsidRPr="009123EF">
        <w:rPr>
          <w:rFonts w:ascii="Times New Roman" w:hAnsi="Times New Roman" w:cs="Times New Roman"/>
        </w:rPr>
        <w:t xml:space="preserve">Le CTS a été instauré par la loi de modernisation de notre système de santé du 26 janvier 2016, dans une volonté de renforcer la démocratie </w:t>
      </w:r>
      <w:r w:rsidR="001C52AF">
        <w:rPr>
          <w:rFonts w:ascii="Times New Roman" w:hAnsi="Times New Roman" w:cs="Times New Roman"/>
        </w:rPr>
        <w:t xml:space="preserve">sanitaire </w:t>
      </w:r>
      <w:r w:rsidRPr="009123EF">
        <w:rPr>
          <w:rFonts w:ascii="Times New Roman" w:hAnsi="Times New Roman" w:cs="Times New Roman"/>
        </w:rPr>
        <w:t>et de territorialiser la gouvernance sanitaire.</w:t>
      </w:r>
      <w:r w:rsidRPr="009123EF">
        <w:rPr>
          <w:rFonts w:ascii="Times New Roman" w:hAnsi="Times New Roman" w:cs="Times New Roman"/>
        </w:rPr>
        <w:br/>
        <w:t>Cette instance s’inscrit dans la continuité des Conférences de territoire, créées par la loi Hôpital, Patients, Santé et Territoires (HPST) de 2009, qu’elle est venue remplacer. Elle poursuit la même ambition : rapprocher les décisions régionales des réalités locales de santé et favoriser la participation des acteurs de terrain à l’élaboration des politiques publiques.</w:t>
      </w:r>
    </w:p>
    <w:p w14:paraId="02AE604D" w14:textId="77777777" w:rsidR="00110862" w:rsidRPr="009123EF" w:rsidRDefault="00110862" w:rsidP="009123EF">
      <w:pPr>
        <w:spacing w:line="276" w:lineRule="auto"/>
        <w:jc w:val="both"/>
        <w:rPr>
          <w:rFonts w:ascii="Times New Roman" w:hAnsi="Times New Roman" w:cs="Times New Roman"/>
        </w:rPr>
      </w:pPr>
      <w:r w:rsidRPr="009123EF">
        <w:rPr>
          <w:rFonts w:ascii="Times New Roman" w:hAnsi="Times New Roman" w:cs="Times New Roman"/>
        </w:rPr>
        <w:t>La réforme de 2021, issue de la réorganisation du pilotage territorial des Agences Régionales de Santé (ARS), a redéfini les contours et les missions du CTS. Elle visait à renforcer son rôle consultatif et à encourager une meilleure coordination entre les différents niveaux territoriaux du système de santé (régional, départemental et local).</w:t>
      </w:r>
    </w:p>
    <w:p w14:paraId="75A5F601" w14:textId="385775FF" w:rsidR="006B2ABD" w:rsidRPr="009123EF" w:rsidRDefault="00D92BC4" w:rsidP="009123EF">
      <w:pPr>
        <w:spacing w:line="276" w:lineRule="auto"/>
        <w:jc w:val="both"/>
        <w:rPr>
          <w:rFonts w:ascii="Times New Roman" w:hAnsi="Times New Roman" w:cs="Times New Roman"/>
        </w:rPr>
      </w:pPr>
      <w:r w:rsidRPr="009123EF">
        <w:rPr>
          <w:rFonts w:ascii="Times New Roman" w:hAnsi="Times New Roman" w:cs="Times New Roman"/>
        </w:rPr>
        <w:t>Bien que le CTS ne dispose pas d’un pouvoir décisionnel au sens strict, il peut être envisagé comme un espace où se construisent progressivement des positions partagées entre les acteurs du territoire. Rattaché administrativement à l’ARS, il contribue à éclairer la mise en œuvre du Projet Régional de Santé en confrontant les priorités régionales aux réalités locales. Sa fonction semble moins résider dans un rôle technique que dans sa capacité à organiser un dialogue structuré, permettant à des institutions, des professionnels et des usagers de croiser leurs perspectives. C’est dans cette dynamique que le CTS pourrait, dans certains contextes, participer à la co-construction des politiques publiques de santé locales.</w:t>
      </w:r>
    </w:p>
    <w:p w14:paraId="3C1D1942" w14:textId="77777777" w:rsidR="00E42AF4" w:rsidRPr="009123EF" w:rsidRDefault="00E42AF4" w:rsidP="009123EF">
      <w:pPr>
        <w:spacing w:line="276" w:lineRule="auto"/>
        <w:jc w:val="both"/>
        <w:rPr>
          <w:rFonts w:ascii="Times New Roman" w:hAnsi="Times New Roman" w:cs="Times New Roman"/>
        </w:rPr>
      </w:pPr>
      <w:r w:rsidRPr="009123EF">
        <w:rPr>
          <w:rFonts w:ascii="Times New Roman" w:hAnsi="Times New Roman" w:cs="Times New Roman"/>
        </w:rPr>
        <w:lastRenderedPageBreak/>
        <w:t>Selon le Code de la santé publique (art. L1434-10 et suivants), le CTS a pour principales missions :</w:t>
      </w:r>
    </w:p>
    <w:p w14:paraId="435EC9F9" w14:textId="77777777" w:rsidR="00E42AF4" w:rsidRPr="009123EF" w:rsidRDefault="00E42AF4" w:rsidP="009123EF">
      <w:pPr>
        <w:numPr>
          <w:ilvl w:val="0"/>
          <w:numId w:val="6"/>
        </w:numPr>
        <w:spacing w:line="276" w:lineRule="auto"/>
        <w:jc w:val="both"/>
        <w:rPr>
          <w:rFonts w:ascii="Times New Roman" w:hAnsi="Times New Roman" w:cs="Times New Roman"/>
        </w:rPr>
      </w:pPr>
      <w:r w:rsidRPr="009123EF">
        <w:rPr>
          <w:rFonts w:ascii="Times New Roman" w:hAnsi="Times New Roman" w:cs="Times New Roman"/>
        </w:rPr>
        <w:t>de contribuer à l’élaboration et à l’évaluation du diagnostic territorial de santé,</w:t>
      </w:r>
    </w:p>
    <w:p w14:paraId="26773CDC" w14:textId="77777777" w:rsidR="00E42AF4" w:rsidRPr="009123EF" w:rsidRDefault="00E42AF4" w:rsidP="009123EF">
      <w:pPr>
        <w:numPr>
          <w:ilvl w:val="0"/>
          <w:numId w:val="6"/>
        </w:numPr>
        <w:spacing w:line="276" w:lineRule="auto"/>
        <w:jc w:val="both"/>
        <w:rPr>
          <w:rFonts w:ascii="Times New Roman" w:hAnsi="Times New Roman" w:cs="Times New Roman"/>
        </w:rPr>
      </w:pPr>
      <w:r w:rsidRPr="009123EF">
        <w:rPr>
          <w:rFonts w:ascii="Times New Roman" w:hAnsi="Times New Roman" w:cs="Times New Roman"/>
        </w:rPr>
        <w:t>de favoriser la coordination des acteurs locaux, notamment dans les champs sanitaire, médico-social et social,</w:t>
      </w:r>
    </w:p>
    <w:p w14:paraId="476690E0" w14:textId="77777777" w:rsidR="00E42AF4" w:rsidRPr="009123EF" w:rsidRDefault="00E42AF4" w:rsidP="009123EF">
      <w:pPr>
        <w:numPr>
          <w:ilvl w:val="0"/>
          <w:numId w:val="6"/>
        </w:numPr>
        <w:spacing w:line="276" w:lineRule="auto"/>
        <w:jc w:val="both"/>
        <w:rPr>
          <w:rFonts w:ascii="Times New Roman" w:hAnsi="Times New Roman" w:cs="Times New Roman"/>
        </w:rPr>
      </w:pPr>
      <w:r w:rsidRPr="009123EF">
        <w:rPr>
          <w:rFonts w:ascii="Times New Roman" w:hAnsi="Times New Roman" w:cs="Times New Roman"/>
        </w:rPr>
        <w:t>de participer à la démocratie en santé, en veillant à la représentation et à l’expression des usagers,</w:t>
      </w:r>
    </w:p>
    <w:p w14:paraId="44D0A9C1" w14:textId="77777777" w:rsidR="00E42AF4" w:rsidRPr="009123EF" w:rsidRDefault="00E42AF4" w:rsidP="009123EF">
      <w:pPr>
        <w:numPr>
          <w:ilvl w:val="0"/>
          <w:numId w:val="6"/>
        </w:numPr>
        <w:spacing w:line="276" w:lineRule="auto"/>
        <w:jc w:val="both"/>
        <w:rPr>
          <w:rFonts w:ascii="Times New Roman" w:hAnsi="Times New Roman" w:cs="Times New Roman"/>
        </w:rPr>
      </w:pPr>
      <w:r w:rsidRPr="009123EF">
        <w:rPr>
          <w:rFonts w:ascii="Times New Roman" w:hAnsi="Times New Roman" w:cs="Times New Roman"/>
        </w:rPr>
        <w:t>et de formuler des avis sur les priorités régionales et les actions territoriales conduites par l’ARS.</w:t>
      </w:r>
    </w:p>
    <w:p w14:paraId="140D3CCA" w14:textId="77777777" w:rsidR="00E42AF4" w:rsidRPr="009123EF" w:rsidRDefault="00E42AF4" w:rsidP="009123EF">
      <w:pPr>
        <w:spacing w:line="276" w:lineRule="auto"/>
        <w:jc w:val="both"/>
        <w:rPr>
          <w:rFonts w:ascii="Times New Roman" w:hAnsi="Times New Roman" w:cs="Times New Roman"/>
        </w:rPr>
      </w:pPr>
      <w:r w:rsidRPr="009123EF">
        <w:rPr>
          <w:rFonts w:ascii="Times New Roman" w:hAnsi="Times New Roman" w:cs="Times New Roman"/>
        </w:rPr>
        <w:t>Certains acteurs du terrain estiment que cette instance pourrait constituer un levier de co-construction des politiques publiques locales, dans la mesure où elle articule les orientations nationales et régionales avec les besoins et spécificités des territoires.</w:t>
      </w:r>
    </w:p>
    <w:p w14:paraId="5AE1C588" w14:textId="77777777" w:rsidR="00E42AF4" w:rsidRPr="009123EF" w:rsidRDefault="00E42AF4" w:rsidP="009123EF">
      <w:pPr>
        <w:spacing w:line="276" w:lineRule="auto"/>
        <w:jc w:val="both"/>
        <w:rPr>
          <w:rFonts w:ascii="Times New Roman" w:hAnsi="Times New Roman" w:cs="Times New Roman"/>
        </w:rPr>
      </w:pPr>
      <w:r w:rsidRPr="009123EF">
        <w:rPr>
          <w:rFonts w:ascii="Times New Roman" w:hAnsi="Times New Roman" w:cs="Times New Roman"/>
        </w:rPr>
        <w:t>Sur le plan organisationnel, le CTS repose sur une structure interne claire, définie par arrêté de l’ARS.</w:t>
      </w:r>
      <w:r w:rsidRPr="009123EF">
        <w:rPr>
          <w:rFonts w:ascii="Times New Roman" w:hAnsi="Times New Roman" w:cs="Times New Roman"/>
        </w:rPr>
        <w:br/>
        <w:t>Il comprend :</w:t>
      </w:r>
    </w:p>
    <w:p w14:paraId="2263DC6F" w14:textId="77777777" w:rsidR="00E42AF4" w:rsidRPr="009123EF" w:rsidRDefault="00E42AF4" w:rsidP="009123EF">
      <w:pPr>
        <w:numPr>
          <w:ilvl w:val="0"/>
          <w:numId w:val="7"/>
        </w:numPr>
        <w:spacing w:line="276" w:lineRule="auto"/>
        <w:jc w:val="both"/>
        <w:rPr>
          <w:rFonts w:ascii="Times New Roman" w:hAnsi="Times New Roman" w:cs="Times New Roman"/>
        </w:rPr>
      </w:pPr>
      <w:r w:rsidRPr="009123EF">
        <w:rPr>
          <w:rFonts w:ascii="Times New Roman" w:hAnsi="Times New Roman" w:cs="Times New Roman"/>
        </w:rPr>
        <w:t>une assemblée plénière, qui réunit l’ensemble des membres pour débattre, émettre des avis et adopter des orientations ;</w:t>
      </w:r>
    </w:p>
    <w:p w14:paraId="6C0C429F" w14:textId="77777777" w:rsidR="00E42AF4" w:rsidRPr="009123EF" w:rsidRDefault="00E42AF4" w:rsidP="009123EF">
      <w:pPr>
        <w:numPr>
          <w:ilvl w:val="0"/>
          <w:numId w:val="7"/>
        </w:numPr>
        <w:spacing w:line="276" w:lineRule="auto"/>
        <w:jc w:val="both"/>
        <w:rPr>
          <w:rFonts w:ascii="Times New Roman" w:hAnsi="Times New Roman" w:cs="Times New Roman"/>
        </w:rPr>
      </w:pPr>
      <w:r w:rsidRPr="009123EF">
        <w:rPr>
          <w:rFonts w:ascii="Times New Roman" w:hAnsi="Times New Roman" w:cs="Times New Roman"/>
        </w:rPr>
        <w:t>un bureau, composé du président, du vice-président et de membres désignés, chargé d’assurer le suivi régulier des travaux et de préparer les réunions plénières ;</w:t>
      </w:r>
    </w:p>
    <w:p w14:paraId="2D64C5B9" w14:textId="77777777" w:rsidR="00E42AF4" w:rsidRPr="009123EF" w:rsidRDefault="00E42AF4" w:rsidP="009123EF">
      <w:pPr>
        <w:numPr>
          <w:ilvl w:val="0"/>
          <w:numId w:val="7"/>
        </w:numPr>
        <w:spacing w:line="276" w:lineRule="auto"/>
        <w:jc w:val="both"/>
        <w:rPr>
          <w:rFonts w:ascii="Times New Roman" w:hAnsi="Times New Roman" w:cs="Times New Roman"/>
        </w:rPr>
      </w:pPr>
      <w:r w:rsidRPr="009123EF">
        <w:rPr>
          <w:rFonts w:ascii="Times New Roman" w:hAnsi="Times New Roman" w:cs="Times New Roman"/>
        </w:rPr>
        <w:t>des collèges, représentant les différents acteurs du système de santé : usagers, élus, professionnels, institutions, organismes sociaux et acteurs associatifs ;</w:t>
      </w:r>
    </w:p>
    <w:p w14:paraId="0E021CB5" w14:textId="77777777" w:rsidR="00E42AF4" w:rsidRPr="009123EF" w:rsidRDefault="00E42AF4" w:rsidP="009123EF">
      <w:pPr>
        <w:numPr>
          <w:ilvl w:val="0"/>
          <w:numId w:val="7"/>
        </w:numPr>
        <w:spacing w:line="276" w:lineRule="auto"/>
        <w:jc w:val="both"/>
        <w:rPr>
          <w:rFonts w:ascii="Times New Roman" w:hAnsi="Times New Roman" w:cs="Times New Roman"/>
        </w:rPr>
      </w:pPr>
      <w:r w:rsidRPr="009123EF">
        <w:rPr>
          <w:rFonts w:ascii="Times New Roman" w:hAnsi="Times New Roman" w:cs="Times New Roman"/>
        </w:rPr>
        <w:t>et des commissions thématiques, qui approfondissent les enjeux propres à certains domaines prioritaires.</w:t>
      </w:r>
    </w:p>
    <w:p w14:paraId="0213FEB6" w14:textId="77777777" w:rsidR="00E42AF4" w:rsidRPr="009123EF" w:rsidRDefault="00E42AF4" w:rsidP="009123EF">
      <w:pPr>
        <w:spacing w:line="276" w:lineRule="auto"/>
        <w:jc w:val="both"/>
        <w:rPr>
          <w:rFonts w:ascii="Times New Roman" w:hAnsi="Times New Roman" w:cs="Times New Roman"/>
        </w:rPr>
      </w:pPr>
      <w:r w:rsidRPr="009123EF">
        <w:rPr>
          <w:rFonts w:ascii="Times New Roman" w:hAnsi="Times New Roman" w:cs="Times New Roman"/>
        </w:rPr>
        <w:t>Parmi ces commissions, deux jouent un rôle essentiel :</w:t>
      </w:r>
    </w:p>
    <w:p w14:paraId="541F2D03" w14:textId="77777777" w:rsidR="00E42AF4" w:rsidRPr="009123EF" w:rsidRDefault="00E42AF4" w:rsidP="009123EF">
      <w:pPr>
        <w:spacing w:line="276" w:lineRule="auto"/>
        <w:jc w:val="both"/>
        <w:rPr>
          <w:rFonts w:ascii="Times New Roman" w:hAnsi="Times New Roman" w:cs="Times New Roman"/>
          <w:u w:val="single"/>
        </w:rPr>
      </w:pPr>
      <w:r w:rsidRPr="009123EF">
        <w:rPr>
          <w:rFonts w:ascii="Times New Roman" w:hAnsi="Times New Roman" w:cs="Times New Roman"/>
          <w:u w:val="single"/>
        </w:rPr>
        <w:t>La commission spécialisée en santé mentale</w:t>
      </w:r>
    </w:p>
    <w:p w14:paraId="4B0E9BF7" w14:textId="77777777" w:rsidR="00E42AF4" w:rsidRPr="009123EF" w:rsidRDefault="00E42AF4" w:rsidP="009123EF">
      <w:pPr>
        <w:spacing w:line="276" w:lineRule="auto"/>
        <w:jc w:val="both"/>
        <w:rPr>
          <w:rFonts w:ascii="Times New Roman" w:hAnsi="Times New Roman" w:cs="Times New Roman"/>
        </w:rPr>
      </w:pPr>
      <w:r w:rsidRPr="009123EF">
        <w:rPr>
          <w:rFonts w:ascii="Times New Roman" w:hAnsi="Times New Roman" w:cs="Times New Roman"/>
        </w:rPr>
        <w:t>Cette commission a pour mission de :</w:t>
      </w:r>
    </w:p>
    <w:p w14:paraId="0A823557" w14:textId="77777777" w:rsidR="00E42AF4" w:rsidRPr="009123EF" w:rsidRDefault="00E42AF4" w:rsidP="009123EF">
      <w:pPr>
        <w:numPr>
          <w:ilvl w:val="0"/>
          <w:numId w:val="8"/>
        </w:numPr>
        <w:spacing w:line="276" w:lineRule="auto"/>
        <w:jc w:val="both"/>
        <w:rPr>
          <w:rFonts w:ascii="Times New Roman" w:hAnsi="Times New Roman" w:cs="Times New Roman"/>
        </w:rPr>
      </w:pPr>
      <w:r w:rsidRPr="009123EF">
        <w:rPr>
          <w:rFonts w:ascii="Times New Roman" w:hAnsi="Times New Roman" w:cs="Times New Roman"/>
        </w:rPr>
        <w:t xml:space="preserve">Préparer l’avis du CTS sur le diagnostic territorial partagé </w:t>
      </w:r>
      <w:r w:rsidRPr="009123EF">
        <w:rPr>
          <w:rFonts w:ascii="Times New Roman" w:hAnsi="Times New Roman" w:cs="Times New Roman"/>
          <w:b/>
          <w:bCs/>
        </w:rPr>
        <w:t>et</w:t>
      </w:r>
      <w:r w:rsidRPr="009123EF">
        <w:rPr>
          <w:rFonts w:ascii="Times New Roman" w:hAnsi="Times New Roman" w:cs="Times New Roman"/>
        </w:rPr>
        <w:t xml:space="preserve"> sur le projet territorial de santé mentale (PTSM).</w:t>
      </w:r>
    </w:p>
    <w:p w14:paraId="4044FF95" w14:textId="77777777" w:rsidR="00E42AF4" w:rsidRPr="009123EF" w:rsidRDefault="00E42AF4" w:rsidP="009123EF">
      <w:pPr>
        <w:numPr>
          <w:ilvl w:val="0"/>
          <w:numId w:val="8"/>
        </w:numPr>
        <w:spacing w:line="276" w:lineRule="auto"/>
        <w:jc w:val="both"/>
        <w:rPr>
          <w:rFonts w:ascii="Times New Roman" w:hAnsi="Times New Roman" w:cs="Times New Roman"/>
        </w:rPr>
      </w:pPr>
      <w:r w:rsidRPr="009123EF">
        <w:rPr>
          <w:rFonts w:ascii="Times New Roman" w:hAnsi="Times New Roman" w:cs="Times New Roman"/>
        </w:rPr>
        <w:t>Être instance de réflexion, d’échange et de proposition sur les enjeux de santé mentale au niveau territorial.</w:t>
      </w:r>
    </w:p>
    <w:p w14:paraId="320DBAB7" w14:textId="77777777" w:rsidR="00E42AF4" w:rsidRPr="009123EF" w:rsidRDefault="00E42AF4" w:rsidP="009123EF">
      <w:pPr>
        <w:numPr>
          <w:ilvl w:val="0"/>
          <w:numId w:val="8"/>
        </w:numPr>
        <w:spacing w:line="276" w:lineRule="auto"/>
        <w:jc w:val="both"/>
        <w:rPr>
          <w:rFonts w:ascii="Times New Roman" w:hAnsi="Times New Roman" w:cs="Times New Roman"/>
        </w:rPr>
      </w:pPr>
      <w:r w:rsidRPr="009123EF">
        <w:rPr>
          <w:rFonts w:ascii="Times New Roman" w:hAnsi="Times New Roman" w:cs="Times New Roman"/>
        </w:rPr>
        <w:t>Travailler sur le projet territorial de santé mentale (le PTSM), en lien avec le diagnostic territorial partagé et la fiche d’actions associée.</w:t>
      </w:r>
    </w:p>
    <w:p w14:paraId="53C0D22D" w14:textId="77777777" w:rsidR="00E42AF4" w:rsidRPr="009123EF" w:rsidRDefault="00E42AF4" w:rsidP="009123EF">
      <w:pPr>
        <w:spacing w:line="276" w:lineRule="auto"/>
        <w:jc w:val="both"/>
        <w:rPr>
          <w:rFonts w:ascii="Times New Roman" w:hAnsi="Times New Roman" w:cs="Times New Roman"/>
          <w:u w:val="single"/>
        </w:rPr>
      </w:pPr>
      <w:r w:rsidRPr="009123EF">
        <w:rPr>
          <w:rFonts w:ascii="Times New Roman" w:hAnsi="Times New Roman" w:cs="Times New Roman"/>
          <w:u w:val="single"/>
        </w:rPr>
        <w:t>La formation (commission) spécifique organisant l’expression des usagers</w:t>
      </w:r>
    </w:p>
    <w:p w14:paraId="274BDE11" w14:textId="77777777" w:rsidR="00E42AF4" w:rsidRPr="009123EF" w:rsidRDefault="00E42AF4" w:rsidP="009123EF">
      <w:pPr>
        <w:spacing w:line="276" w:lineRule="auto"/>
        <w:jc w:val="both"/>
        <w:rPr>
          <w:rFonts w:ascii="Times New Roman" w:hAnsi="Times New Roman" w:cs="Times New Roman"/>
        </w:rPr>
      </w:pPr>
      <w:r w:rsidRPr="009123EF">
        <w:rPr>
          <w:rFonts w:ascii="Times New Roman" w:hAnsi="Times New Roman" w:cs="Times New Roman"/>
        </w:rPr>
        <w:t>Cette formation (commission) a pour mission de :</w:t>
      </w:r>
    </w:p>
    <w:p w14:paraId="24930439" w14:textId="77777777" w:rsidR="00E42AF4" w:rsidRPr="009123EF" w:rsidRDefault="00E42AF4" w:rsidP="009123EF">
      <w:pPr>
        <w:numPr>
          <w:ilvl w:val="0"/>
          <w:numId w:val="9"/>
        </w:numPr>
        <w:spacing w:line="276" w:lineRule="auto"/>
        <w:jc w:val="both"/>
        <w:rPr>
          <w:rFonts w:ascii="Times New Roman" w:hAnsi="Times New Roman" w:cs="Times New Roman"/>
        </w:rPr>
      </w:pPr>
      <w:r w:rsidRPr="009123EF">
        <w:rPr>
          <w:rFonts w:ascii="Times New Roman" w:hAnsi="Times New Roman" w:cs="Times New Roman"/>
        </w:rPr>
        <w:t>Organiser l’expression des usagers du système de santé, en intégrant particulièrement les personnes en situation de pauvreté ou de précarité.</w:t>
      </w:r>
    </w:p>
    <w:p w14:paraId="3715D493" w14:textId="77777777" w:rsidR="00E42AF4" w:rsidRPr="009123EF" w:rsidRDefault="00E42AF4" w:rsidP="009123EF">
      <w:pPr>
        <w:numPr>
          <w:ilvl w:val="0"/>
          <w:numId w:val="9"/>
        </w:numPr>
        <w:spacing w:line="276" w:lineRule="auto"/>
        <w:jc w:val="both"/>
        <w:rPr>
          <w:rFonts w:ascii="Times New Roman" w:hAnsi="Times New Roman" w:cs="Times New Roman"/>
        </w:rPr>
      </w:pPr>
      <w:r w:rsidRPr="009123EF">
        <w:rPr>
          <w:rFonts w:ascii="Times New Roman" w:hAnsi="Times New Roman" w:cs="Times New Roman"/>
        </w:rPr>
        <w:t>Participer à l’évaluation des conditions dans lesquelles sont appliqués et respectés les droits des malades et usagers, ainsi que la qualité des prises en charge et des accompagnements.</w:t>
      </w:r>
    </w:p>
    <w:p w14:paraId="5B88EB62" w14:textId="77777777" w:rsidR="00E42AF4" w:rsidRPr="009123EF" w:rsidRDefault="00E42AF4" w:rsidP="009123EF">
      <w:pPr>
        <w:numPr>
          <w:ilvl w:val="0"/>
          <w:numId w:val="9"/>
        </w:numPr>
        <w:spacing w:line="276" w:lineRule="auto"/>
        <w:jc w:val="both"/>
        <w:rPr>
          <w:rFonts w:ascii="Times New Roman" w:hAnsi="Times New Roman" w:cs="Times New Roman"/>
        </w:rPr>
      </w:pPr>
      <w:r w:rsidRPr="009123EF">
        <w:rPr>
          <w:rFonts w:ascii="Times New Roman" w:hAnsi="Times New Roman" w:cs="Times New Roman"/>
        </w:rPr>
        <w:lastRenderedPageBreak/>
        <w:t xml:space="preserve">Formuler des avis et des propositions que le CTS peut transmettre notamment à la Conférence régionale de la santé et de l’autonomie (CRSA) et à sa commission spécialisée dans le domaine des droits des usagers. </w:t>
      </w:r>
    </w:p>
    <w:p w14:paraId="2EBB0298" w14:textId="77777777" w:rsidR="00E42AF4" w:rsidRPr="009123EF" w:rsidRDefault="00E42AF4" w:rsidP="009123EF">
      <w:pPr>
        <w:spacing w:line="276" w:lineRule="auto"/>
        <w:jc w:val="both"/>
        <w:rPr>
          <w:rFonts w:ascii="Times New Roman" w:hAnsi="Times New Roman" w:cs="Times New Roman"/>
        </w:rPr>
      </w:pPr>
      <w:r w:rsidRPr="009123EF">
        <w:rPr>
          <w:rFonts w:ascii="Times New Roman" w:hAnsi="Times New Roman" w:cs="Times New Roman"/>
        </w:rPr>
        <w:t>Ces commissions illustrent concrètement la mise en œuvre de la démocratie en santé, en associant les savoirs d’expérience des usagers à l’expertise professionnelle.</w:t>
      </w:r>
      <w:r w:rsidRPr="009123EF">
        <w:rPr>
          <w:rFonts w:ascii="Times New Roman" w:hAnsi="Times New Roman" w:cs="Times New Roman"/>
          <w:color w:val="77206D" w:themeColor="accent5" w:themeShade="BF"/>
        </w:rPr>
        <w:br/>
      </w:r>
      <w:r w:rsidRPr="009123EF">
        <w:rPr>
          <w:rFonts w:ascii="Times New Roman" w:hAnsi="Times New Roman" w:cs="Times New Roman"/>
        </w:rPr>
        <w:t>Elles contribuent à ancrer l’action du CTS dans une logique participative et transversale, tout en assurant une meilleure lisibilité des priorités territoriales.</w:t>
      </w:r>
    </w:p>
    <w:p w14:paraId="575F3B96" w14:textId="77777777" w:rsidR="00E42AF4" w:rsidRPr="009123EF" w:rsidRDefault="00E42AF4" w:rsidP="009123EF">
      <w:pPr>
        <w:spacing w:line="276" w:lineRule="auto"/>
        <w:jc w:val="both"/>
        <w:rPr>
          <w:rFonts w:ascii="Times New Roman" w:hAnsi="Times New Roman" w:cs="Times New Roman"/>
        </w:rPr>
      </w:pPr>
      <w:r w:rsidRPr="009123EF">
        <w:rPr>
          <w:rFonts w:ascii="Times New Roman" w:hAnsi="Times New Roman" w:cs="Times New Roman"/>
        </w:rPr>
        <w:t>Le président du CTS est élu parmi les membres et travaille en étroite collaboration avec les services de l’ARS. Cette articulation permet une circulation ascendante et descendante de l’information, garantissant une cohérence entre les politiques régionales et les dynamiques locales.</w:t>
      </w:r>
    </w:p>
    <w:p w14:paraId="7B7DD66F" w14:textId="204E2A14" w:rsidR="00E42AF4" w:rsidRDefault="00E42AF4" w:rsidP="009123EF">
      <w:pPr>
        <w:spacing w:line="276" w:lineRule="auto"/>
        <w:jc w:val="both"/>
        <w:rPr>
          <w:rFonts w:ascii="Times New Roman" w:hAnsi="Times New Roman" w:cs="Times New Roman"/>
        </w:rPr>
      </w:pPr>
      <w:r w:rsidRPr="009123EF">
        <w:rPr>
          <w:rFonts w:ascii="Times New Roman" w:hAnsi="Times New Roman" w:cs="Times New Roman"/>
        </w:rPr>
        <w:t>Enfin, il convient de noter que le fonctionnement du CTS varie selon les régions et les départements, en termes d’autonomie, de fréquence des réunions, de portée réelle des avis émis et d’action sur le territoire. Cette diversité d’organisation impacte nécessairement la capacité du CTS à exercer pleinement son rôle d’instance de concertation, mais elle reflète également l’adaptation nécessaire de la gouvernance sanitaire aux spécificités locales.</w:t>
      </w:r>
    </w:p>
    <w:p w14:paraId="1C5E790C" w14:textId="77777777" w:rsidR="006E0F8E" w:rsidRPr="009123EF" w:rsidRDefault="006E0F8E" w:rsidP="009123EF">
      <w:pPr>
        <w:spacing w:line="276" w:lineRule="auto"/>
        <w:jc w:val="both"/>
        <w:rPr>
          <w:rFonts w:ascii="Times New Roman" w:hAnsi="Times New Roman" w:cs="Times New Roman"/>
        </w:rPr>
      </w:pPr>
    </w:p>
    <w:p w14:paraId="6BB57F39" w14:textId="2EE57931" w:rsidR="00EA5B4F" w:rsidRDefault="00EA5B4F" w:rsidP="00FD4509">
      <w:pPr>
        <w:pStyle w:val="Titre2"/>
      </w:pPr>
      <w:r w:rsidRPr="009123EF">
        <w:t>Les valeurs et principes d’action du CTS</w:t>
      </w:r>
    </w:p>
    <w:p w14:paraId="649332FB" w14:textId="77777777" w:rsidR="006E0F8E" w:rsidRPr="006E0F8E" w:rsidRDefault="006E0F8E" w:rsidP="006E0F8E">
      <w:pPr>
        <w:rPr>
          <w:lang w:eastAsia="fr-FR"/>
        </w:rPr>
      </w:pPr>
    </w:p>
    <w:p w14:paraId="289C48B6" w14:textId="55F83095" w:rsidR="00234ED4" w:rsidRPr="009123EF" w:rsidRDefault="00234ED4" w:rsidP="009123EF">
      <w:pPr>
        <w:spacing w:line="276" w:lineRule="auto"/>
        <w:jc w:val="both"/>
        <w:rPr>
          <w:rFonts w:ascii="Times New Roman" w:hAnsi="Times New Roman" w:cs="Times New Roman"/>
        </w:rPr>
      </w:pPr>
      <w:r w:rsidRPr="009123EF">
        <w:rPr>
          <w:rFonts w:ascii="Times New Roman" w:hAnsi="Times New Roman" w:cs="Times New Roman"/>
        </w:rPr>
        <w:t>Les actions portées par le CTS s’inscrivent dans un ensemble de valeurs et de principes qui orientent sa manière d’appréhender les enjeux de santé au niveau territorial. Ces repères ne constituent pas un modèle figé, mais un socle commun permettant de comprendre la logique collective qui guide son fonctionnement.</w:t>
      </w:r>
    </w:p>
    <w:p w14:paraId="2CDE8E4B" w14:textId="14DECBCE" w:rsidR="00EA5B4F" w:rsidRPr="009123EF" w:rsidRDefault="00EA5B4F" w:rsidP="009123EF">
      <w:pPr>
        <w:spacing w:line="276" w:lineRule="auto"/>
        <w:jc w:val="both"/>
        <w:rPr>
          <w:rFonts w:ascii="Times New Roman" w:hAnsi="Times New Roman" w:cs="Times New Roman"/>
        </w:rPr>
      </w:pPr>
      <w:r w:rsidRPr="009123EF">
        <w:rPr>
          <w:rFonts w:ascii="Times New Roman" w:hAnsi="Times New Roman" w:cs="Times New Roman"/>
        </w:rPr>
        <w:t xml:space="preserve">Le </w:t>
      </w:r>
      <w:r w:rsidR="00234ED4" w:rsidRPr="009123EF">
        <w:rPr>
          <w:rFonts w:ascii="Times New Roman" w:hAnsi="Times New Roman" w:cs="Times New Roman"/>
        </w:rPr>
        <w:t>CTS</w:t>
      </w:r>
      <w:r w:rsidRPr="009123EF">
        <w:rPr>
          <w:rFonts w:ascii="Times New Roman" w:hAnsi="Times New Roman" w:cs="Times New Roman"/>
        </w:rPr>
        <w:t xml:space="preserve"> s’appuie sur une approche transversale, participative et intersectorielle visant à relier les différents champs de la santé (sanitaire, social, médico-social, éducatif et environnemental).</w:t>
      </w:r>
      <w:r w:rsidRPr="009123EF">
        <w:rPr>
          <w:rFonts w:ascii="Times New Roman" w:hAnsi="Times New Roman" w:cs="Times New Roman"/>
        </w:rPr>
        <w:br/>
        <w:t>Cette dynamique traduit une vision structurelle de la santé : il ne s’agit pas seulement de répondre à des besoins immédiats, mais d’agir sur les causes profondes des inégalités, telles que les conditions de vie, l’emploi, le logement ou l’accès aux droits.</w:t>
      </w:r>
    </w:p>
    <w:p w14:paraId="71058BF7" w14:textId="4E0367B6" w:rsidR="00EA5B4F" w:rsidRDefault="00EA5B4F" w:rsidP="009123EF">
      <w:pPr>
        <w:spacing w:line="276" w:lineRule="auto"/>
        <w:jc w:val="both"/>
        <w:rPr>
          <w:rFonts w:ascii="Times New Roman" w:hAnsi="Times New Roman" w:cs="Times New Roman"/>
        </w:rPr>
      </w:pPr>
      <w:r w:rsidRPr="009123EF">
        <w:rPr>
          <w:rFonts w:ascii="Times New Roman" w:hAnsi="Times New Roman" w:cs="Times New Roman"/>
        </w:rPr>
        <w:t>Le CTS s’inscrit également dans une logique de promotion de la santé, inspirée de la Charte d’Ottawa, qui valorise la prévention, l’éducation et la participation citoyenne comme leviers d’action.</w:t>
      </w:r>
      <w:r w:rsidRPr="009123EF">
        <w:rPr>
          <w:rFonts w:ascii="Times New Roman" w:hAnsi="Times New Roman" w:cs="Times New Roman"/>
        </w:rPr>
        <w:br/>
        <w:t>Son fonctionnement illustre la complexité évoquée par Edgar Morin</w:t>
      </w:r>
      <w:r w:rsidR="009C0751" w:rsidRPr="009123EF">
        <w:rPr>
          <w:rFonts w:ascii="Times New Roman" w:hAnsi="Times New Roman" w:cs="Times New Roman"/>
        </w:rPr>
        <w:t>,</w:t>
      </w:r>
      <w:r w:rsidRPr="009123EF">
        <w:rPr>
          <w:rFonts w:ascii="Times New Roman" w:hAnsi="Times New Roman" w:cs="Times New Roman"/>
        </w:rPr>
        <w:t xml:space="preserve"> où les interactions entre acteurs, institutions et temporalités (court, moyen et long terme) rendent nécessaire une approche globale et systémique.</w:t>
      </w:r>
    </w:p>
    <w:p w14:paraId="6BA033D1" w14:textId="77777777" w:rsidR="006E0F8E" w:rsidRPr="009123EF" w:rsidRDefault="006E0F8E" w:rsidP="009123EF">
      <w:pPr>
        <w:spacing w:line="276" w:lineRule="auto"/>
        <w:jc w:val="both"/>
        <w:rPr>
          <w:rFonts w:ascii="Times New Roman" w:hAnsi="Times New Roman" w:cs="Times New Roman"/>
        </w:rPr>
      </w:pPr>
    </w:p>
    <w:p w14:paraId="185F4775" w14:textId="4FDDDA4E" w:rsidR="00A31DE1" w:rsidRDefault="00A31DE1" w:rsidP="00FD4509">
      <w:pPr>
        <w:pStyle w:val="Titre2"/>
      </w:pPr>
      <w:r w:rsidRPr="009123EF">
        <w:t xml:space="preserve"> Les politiques publiques de santé : le PRS comme cadre de référence </w:t>
      </w:r>
    </w:p>
    <w:p w14:paraId="5CCA5228" w14:textId="77777777" w:rsidR="006E0F8E" w:rsidRPr="006E0F8E" w:rsidRDefault="006E0F8E" w:rsidP="006E0F8E">
      <w:pPr>
        <w:rPr>
          <w:lang w:eastAsia="fr-FR"/>
        </w:rPr>
      </w:pPr>
    </w:p>
    <w:p w14:paraId="1A4515AB" w14:textId="06FCF1B8" w:rsidR="00A31DE1" w:rsidRPr="00FA0F96" w:rsidRDefault="00A31DE1" w:rsidP="009123EF">
      <w:pPr>
        <w:spacing w:line="276" w:lineRule="auto"/>
        <w:jc w:val="both"/>
        <w:rPr>
          <w:rFonts w:ascii="Times New Roman" w:hAnsi="Times New Roman" w:cs="Times New Roman"/>
        </w:rPr>
      </w:pPr>
      <w:r w:rsidRPr="00FA0F96">
        <w:rPr>
          <w:rFonts w:ascii="Times New Roman" w:hAnsi="Times New Roman" w:cs="Times New Roman"/>
        </w:rPr>
        <w:t xml:space="preserve">Après avoir précisé les valeurs et les principes qui fondent l’action du CTS, il apparaît nécessaire de situer cette instance dans les cadres de politiques publiques au sein desquels elle évolue. Ces cadres ne définissent </w:t>
      </w:r>
      <w:r w:rsidRPr="00FA0F96">
        <w:rPr>
          <w:rFonts w:ascii="Times New Roman" w:hAnsi="Times New Roman" w:cs="Times New Roman"/>
        </w:rPr>
        <w:lastRenderedPageBreak/>
        <w:t xml:space="preserve">pas seulement un environnement </w:t>
      </w:r>
      <w:r w:rsidR="000A68AC">
        <w:rPr>
          <w:rFonts w:ascii="Times New Roman" w:hAnsi="Times New Roman" w:cs="Times New Roman"/>
        </w:rPr>
        <w:t>légal</w:t>
      </w:r>
      <w:r w:rsidRPr="00FA0F96">
        <w:rPr>
          <w:rFonts w:ascii="Times New Roman" w:hAnsi="Times New Roman" w:cs="Times New Roman"/>
        </w:rPr>
        <w:t xml:space="preserve"> ; ils constituent aussi des espaces avec lesquels le CTS est amené à dialoguer pour faire exister une lecture territoriale des enjeux de santé.</w:t>
      </w:r>
    </w:p>
    <w:p w14:paraId="675D0381" w14:textId="77777777" w:rsidR="00A31DE1" w:rsidRPr="00FA0F96" w:rsidRDefault="00A31DE1" w:rsidP="009123EF">
      <w:pPr>
        <w:spacing w:line="276" w:lineRule="auto"/>
        <w:jc w:val="both"/>
        <w:rPr>
          <w:rFonts w:ascii="Times New Roman" w:hAnsi="Times New Roman" w:cs="Times New Roman"/>
        </w:rPr>
      </w:pPr>
      <w:r w:rsidRPr="00FA0F96">
        <w:rPr>
          <w:rFonts w:ascii="Times New Roman" w:hAnsi="Times New Roman" w:cs="Times New Roman"/>
        </w:rPr>
        <w:t>À l’échelle régionale, l’organisation des politiques publiques de santé est principalement structurée par le Projet Régional de Santé (PRS), élaboré par l’Agence Régionale de Santé. Le PRS fixe les orientations stratégiques, les priorités et les objectifs qui encadrent l’action publique en matière de santé sur le territoire régional. Il constitue ainsi un cadre de référence incontournable pour les acteurs territoriaux.</w:t>
      </w:r>
    </w:p>
    <w:p w14:paraId="765C6984" w14:textId="77777777" w:rsidR="00A31DE1" w:rsidRPr="00FA0F96" w:rsidRDefault="00A31DE1" w:rsidP="009123EF">
      <w:pPr>
        <w:spacing w:line="276" w:lineRule="auto"/>
        <w:jc w:val="both"/>
        <w:rPr>
          <w:rFonts w:ascii="Times New Roman" w:hAnsi="Times New Roman" w:cs="Times New Roman"/>
        </w:rPr>
      </w:pPr>
      <w:r w:rsidRPr="00FA0F96">
        <w:rPr>
          <w:rFonts w:ascii="Times New Roman" w:hAnsi="Times New Roman" w:cs="Times New Roman"/>
        </w:rPr>
        <w:t>Dans ce contexte, le CTS occupe une position singulière. Son rôle ne se limite pas à accompagner la mise en œuvre locale des orientations du PRS. Par sa composition et par la nature des échanges qu’il favorise, il peut également être compris comme un espace de concertation permettant de faire émerger une lecture territorialisée des enjeux de santé. Les travaux du CTS offrent ainsi la possibilité de mettre en discussion les besoins observés, les difficultés rencontrées par les acteurs et les attentes exprimées par les populations, contribuant à éclairer l’élaboration, l’ajustement ou l’évaluation des orientations régionales.</w:t>
      </w:r>
    </w:p>
    <w:p w14:paraId="5248DE3E" w14:textId="0E168D44" w:rsidR="00A31DE1" w:rsidRPr="00FA0F96" w:rsidRDefault="00A31DE1" w:rsidP="009123EF">
      <w:pPr>
        <w:spacing w:line="276" w:lineRule="auto"/>
        <w:jc w:val="both"/>
        <w:rPr>
          <w:rFonts w:ascii="Times New Roman" w:hAnsi="Times New Roman" w:cs="Times New Roman"/>
        </w:rPr>
      </w:pPr>
      <w:r w:rsidRPr="00FA0F96">
        <w:rPr>
          <w:rFonts w:ascii="Times New Roman" w:hAnsi="Times New Roman" w:cs="Times New Roman"/>
        </w:rPr>
        <w:t>Dans le Val-de-Marne, cette articulation entre le CTS et le PRS apparaît de manière concrète. Plusieurs thématiques régulièrement abordées au sein du CTS — telles que la santé mentale, la prévention</w:t>
      </w:r>
      <w:r w:rsidR="00807E52">
        <w:rPr>
          <w:rFonts w:ascii="Times New Roman" w:hAnsi="Times New Roman" w:cs="Times New Roman"/>
        </w:rPr>
        <w:t>, la périnatalité</w:t>
      </w:r>
      <w:r w:rsidRPr="00FA0F96">
        <w:rPr>
          <w:rFonts w:ascii="Times New Roman" w:hAnsi="Times New Roman" w:cs="Times New Roman"/>
        </w:rPr>
        <w:t xml:space="preserve"> ou les conditions d’accès aux soins — trouvent une résonance dans les orientations du PRS en vigueur. </w:t>
      </w:r>
      <w:r w:rsidR="00957994" w:rsidRPr="00957994">
        <w:rPr>
          <w:rFonts w:ascii="Times New Roman" w:hAnsi="Times New Roman" w:cs="Times New Roman"/>
        </w:rPr>
        <w:t>Cette dynamique s’est également traduite par la participation du CTS aux concertations relatives au zonage des médecins, au cours desquelles les avis émis ont permis de porter une lecture territoriale des inégalités d’accès aux soins et de faire remonter des positions construites à partir des constats locaux.</w:t>
      </w:r>
      <w:r w:rsidR="00957994">
        <w:rPr>
          <w:rFonts w:ascii="Times New Roman" w:hAnsi="Times New Roman" w:cs="Times New Roman"/>
        </w:rPr>
        <w:t xml:space="preserve"> </w:t>
      </w:r>
      <w:r w:rsidRPr="00FA0F96">
        <w:rPr>
          <w:rFonts w:ascii="Times New Roman" w:hAnsi="Times New Roman" w:cs="Times New Roman"/>
        </w:rPr>
        <w:t>Cette convergence peut être interprétée non comme un simple mécanisme de déclinaison, mais plutôt comme le résultat d’un dialogue entre planification régionale et dynamiques locales, dans lequel les constats issus du terrain viennent nourrir la réflexion régionale.</w:t>
      </w:r>
    </w:p>
    <w:p w14:paraId="5082E2F0" w14:textId="4E79C0E4" w:rsidR="00A31DE1" w:rsidRPr="00FA0F96" w:rsidRDefault="00A31DE1" w:rsidP="009123EF">
      <w:pPr>
        <w:spacing w:line="276" w:lineRule="auto"/>
        <w:jc w:val="both"/>
        <w:rPr>
          <w:rFonts w:ascii="Times New Roman" w:hAnsi="Times New Roman" w:cs="Times New Roman"/>
        </w:rPr>
      </w:pPr>
      <w:r w:rsidRPr="00FA0F96">
        <w:rPr>
          <w:rFonts w:ascii="Times New Roman" w:hAnsi="Times New Roman" w:cs="Times New Roman"/>
        </w:rPr>
        <w:t>Le PRS s’appuie par ailleurs sur des cadres thématiques spécifiques, notamment la feuille de route en santé mentale, qui met l’accent sur la coordination des acteurs, la prévention et l’inclusion. Ces axes rejoignent des préoccupations fréquemment exprimées dans les échanges du CTS du Val-de-Marne, en particulier autour des liens entre précarité, isolement social et santé mentale. De la même manière, les O</w:t>
      </w:r>
      <w:r w:rsidR="00B33F9C">
        <w:rPr>
          <w:rFonts w:ascii="Times New Roman" w:hAnsi="Times New Roman" w:cs="Times New Roman"/>
        </w:rPr>
        <w:t>bjectifs</w:t>
      </w:r>
      <w:r w:rsidRPr="00FA0F96">
        <w:rPr>
          <w:rFonts w:ascii="Times New Roman" w:hAnsi="Times New Roman" w:cs="Times New Roman"/>
        </w:rPr>
        <w:t xml:space="preserve"> Nationa</w:t>
      </w:r>
      <w:r w:rsidR="00B33F9C">
        <w:rPr>
          <w:rFonts w:ascii="Times New Roman" w:hAnsi="Times New Roman" w:cs="Times New Roman"/>
        </w:rPr>
        <w:t>ux</w:t>
      </w:r>
      <w:r w:rsidRPr="00FA0F96">
        <w:rPr>
          <w:rFonts w:ascii="Times New Roman" w:hAnsi="Times New Roman" w:cs="Times New Roman"/>
        </w:rPr>
        <w:t xml:space="preserve"> Pluriannuel</w:t>
      </w:r>
      <w:r w:rsidR="00B33F9C">
        <w:rPr>
          <w:rFonts w:ascii="Times New Roman" w:hAnsi="Times New Roman" w:cs="Times New Roman"/>
        </w:rPr>
        <w:t>s (ONP)</w:t>
      </w:r>
      <w:r w:rsidRPr="00FA0F96">
        <w:rPr>
          <w:rFonts w:ascii="Times New Roman" w:hAnsi="Times New Roman" w:cs="Times New Roman"/>
        </w:rPr>
        <w:t xml:space="preserve"> relatives à la formation et à la répartition des professionnels de santé constituent un autre levier structurant. L’association des CTS aux concertations menées sur ces orientations permet d’introduire une lecture territoriale des enjeux de démographie médicale et de mieux relier les politiques de formation aux besoins identifiés localement.</w:t>
      </w:r>
    </w:p>
    <w:p w14:paraId="4848F90A" w14:textId="77777777" w:rsidR="00A31DE1" w:rsidRPr="00FA0F96" w:rsidRDefault="00A31DE1" w:rsidP="009123EF">
      <w:pPr>
        <w:spacing w:line="276" w:lineRule="auto"/>
        <w:jc w:val="both"/>
        <w:rPr>
          <w:rFonts w:ascii="Times New Roman" w:hAnsi="Times New Roman" w:cs="Times New Roman"/>
        </w:rPr>
      </w:pPr>
      <w:r w:rsidRPr="00FA0F96">
        <w:rPr>
          <w:rFonts w:ascii="Times New Roman" w:hAnsi="Times New Roman" w:cs="Times New Roman"/>
        </w:rPr>
        <w:t>Au-delà du PRS, le CTS s’inscrit dans un ensemble plus large d’instances de concertation, telles que les Conférences Régionales de la Santé et de l’Autonomie ou le Conseil National de la Santé, qui assurent une circulation des réflexions entre les échelons territoriaux, régionaux et nationaux. Le Conseil National de la Refondation – Santé participe également à cette dynamique en promouvant une approche plus participative et territorialisée des politiques de santé.</w:t>
      </w:r>
    </w:p>
    <w:p w14:paraId="3B787CFA" w14:textId="2CC2070A" w:rsidR="00A31DE1" w:rsidRDefault="00A31DE1" w:rsidP="009123EF">
      <w:pPr>
        <w:spacing w:line="276" w:lineRule="auto"/>
        <w:jc w:val="both"/>
        <w:rPr>
          <w:rFonts w:ascii="Times New Roman" w:hAnsi="Times New Roman" w:cs="Times New Roman"/>
        </w:rPr>
      </w:pPr>
      <w:r w:rsidRPr="00FA0F96">
        <w:rPr>
          <w:rFonts w:ascii="Times New Roman" w:hAnsi="Times New Roman" w:cs="Times New Roman"/>
        </w:rPr>
        <w:t>Ainsi, le PRS et les dispositifs de concertation qui l’entourent forment un cadre au sein duquel le CTS trouve sa place. Celui-ci peut être compris comme un espace de dialogue et d’ajustement, où les politiques publiques de santé sont mises en perspective à partir des réalités locales. Cette position permet au CTS de contribuer, à son niveau, à une meilleure cohérence entre orientations régionales et besoins territoriaux, et prépare l’analyse de son inscription concrète dans l’écosystème institutionnel et la démocratie en santé.</w:t>
      </w:r>
    </w:p>
    <w:p w14:paraId="23A470FB" w14:textId="77777777" w:rsidR="006E0F8E" w:rsidRPr="009123EF" w:rsidRDefault="006E0F8E" w:rsidP="009123EF">
      <w:pPr>
        <w:spacing w:line="276" w:lineRule="auto"/>
        <w:jc w:val="both"/>
        <w:rPr>
          <w:rFonts w:ascii="Times New Roman" w:hAnsi="Times New Roman" w:cs="Times New Roman"/>
        </w:rPr>
      </w:pPr>
    </w:p>
    <w:p w14:paraId="5CDD9800" w14:textId="02843FCA" w:rsidR="00E42AF4" w:rsidRDefault="006522ED" w:rsidP="00FD4509">
      <w:pPr>
        <w:pStyle w:val="Titre2"/>
      </w:pPr>
      <w:r w:rsidRPr="009123EF">
        <w:lastRenderedPageBreak/>
        <w:t>Le CTS dans l’écosystème institutionnel</w:t>
      </w:r>
      <w:r w:rsidR="00237E42" w:rsidRPr="009123EF">
        <w:t> </w:t>
      </w:r>
      <w:r w:rsidR="007F0256" w:rsidRPr="009123EF">
        <w:t xml:space="preserve">et la démocratie en santé </w:t>
      </w:r>
    </w:p>
    <w:p w14:paraId="68C851AA" w14:textId="77777777" w:rsidR="006E0F8E" w:rsidRPr="006E0F8E" w:rsidRDefault="006E0F8E" w:rsidP="006E0F8E">
      <w:pPr>
        <w:rPr>
          <w:lang w:eastAsia="fr-FR"/>
        </w:rPr>
      </w:pPr>
    </w:p>
    <w:p w14:paraId="2DC88028" w14:textId="77C6AAF0" w:rsidR="00A31335" w:rsidRPr="009123EF" w:rsidRDefault="00EA3E33" w:rsidP="009123EF">
      <w:pPr>
        <w:spacing w:line="276" w:lineRule="auto"/>
        <w:jc w:val="both"/>
        <w:rPr>
          <w:rFonts w:ascii="Times New Roman" w:hAnsi="Times New Roman" w:cs="Times New Roman"/>
        </w:rPr>
      </w:pPr>
      <w:r w:rsidRPr="009123EF">
        <w:rPr>
          <w:rFonts w:ascii="Times New Roman" w:hAnsi="Times New Roman" w:cs="Times New Roman"/>
        </w:rPr>
        <w:t>Pour comprendre le rôle du CTS, il semble utile de le situer dans l’architecture institutionnelle qui organise la gouvernance territoriale de la santé.</w:t>
      </w:r>
      <w:r w:rsidR="00EA18A3" w:rsidRPr="009123EF">
        <w:rPr>
          <w:rFonts w:ascii="Times New Roman" w:hAnsi="Times New Roman" w:cs="Times New Roman"/>
        </w:rPr>
        <w:t xml:space="preserve"> Rattaché administrativement à l’Agence Régionale de Santé (ARS), il interagit avec un ensemble d’acteurs qui participent, chacun à leur manière, aux politiques publiques ayant un impact sur la santé : services de l’État, collectivités territoriales, Assurance maladie, représentants des professionnels de santé, établissements sanitaires et médico-sociaux, ainsi que les dispositifs locaux (CPTS, CLS, CLSM, </w:t>
      </w:r>
      <w:r w:rsidR="00406C18">
        <w:rPr>
          <w:rFonts w:ascii="Times New Roman" w:hAnsi="Times New Roman" w:cs="Times New Roman"/>
        </w:rPr>
        <w:t>DAC</w:t>
      </w:r>
      <w:r w:rsidR="00EA18A3" w:rsidRPr="009123EF">
        <w:rPr>
          <w:rFonts w:ascii="Times New Roman" w:hAnsi="Times New Roman" w:cs="Times New Roman"/>
        </w:rPr>
        <w:t>).</w:t>
      </w:r>
      <w:r w:rsidR="004D487F" w:rsidRPr="009123EF">
        <w:rPr>
          <w:rFonts w:ascii="Times New Roman" w:hAnsi="Times New Roman" w:cs="Times New Roman"/>
        </w:rPr>
        <w:t xml:space="preserve"> </w:t>
      </w:r>
      <w:r w:rsidR="00A31335" w:rsidRPr="009123EF">
        <w:rPr>
          <w:rFonts w:ascii="Times New Roman" w:hAnsi="Times New Roman" w:cs="Times New Roman"/>
        </w:rPr>
        <w:t xml:space="preserve">Dans ce cadre, le CTS </w:t>
      </w:r>
      <w:r w:rsidR="00AF6BE1">
        <w:rPr>
          <w:rFonts w:ascii="Times New Roman" w:hAnsi="Times New Roman" w:cs="Times New Roman"/>
        </w:rPr>
        <w:t xml:space="preserve">peut </w:t>
      </w:r>
      <w:r w:rsidR="00A31335" w:rsidRPr="009123EF">
        <w:rPr>
          <w:rFonts w:ascii="Times New Roman" w:hAnsi="Times New Roman" w:cs="Times New Roman"/>
        </w:rPr>
        <w:t>occupe</w:t>
      </w:r>
      <w:r w:rsidR="00AF6BE1">
        <w:rPr>
          <w:rFonts w:ascii="Times New Roman" w:hAnsi="Times New Roman" w:cs="Times New Roman"/>
        </w:rPr>
        <w:t>r</w:t>
      </w:r>
      <w:r w:rsidR="00A31335" w:rsidRPr="009123EF">
        <w:rPr>
          <w:rFonts w:ascii="Times New Roman" w:hAnsi="Times New Roman" w:cs="Times New Roman"/>
        </w:rPr>
        <w:t xml:space="preserve"> une place d’interface entre les orientations régionales et les dynamiques locales. Les textes qui en définissent le fonctionnement prévoient qu’il constitue un espace de concertation territoriale, permettant l’expression de points de vue pluriels et la formulation d’avis sur les enjeux de santé du territoire. Il ne s’agit pas d’une instance décisionnelle, mais d’un lieu destiné à éclairer l’action publique par l’analyse partagée des besoins et des priorités locales.</w:t>
      </w:r>
    </w:p>
    <w:p w14:paraId="7FE95BE3" w14:textId="07510B44" w:rsidR="00A31335" w:rsidRPr="00A31335" w:rsidRDefault="005C0847" w:rsidP="009123EF">
      <w:pPr>
        <w:spacing w:line="276" w:lineRule="auto"/>
        <w:jc w:val="both"/>
        <w:rPr>
          <w:rFonts w:ascii="Times New Roman" w:hAnsi="Times New Roman" w:cs="Times New Roman"/>
        </w:rPr>
      </w:pPr>
      <w:r>
        <w:rPr>
          <w:rFonts w:ascii="Times New Roman" w:hAnsi="Times New Roman" w:cs="Times New Roman"/>
        </w:rPr>
        <w:t xml:space="preserve">Comme </w:t>
      </w:r>
      <w:r w:rsidR="00ED15FF">
        <w:rPr>
          <w:rFonts w:ascii="Times New Roman" w:hAnsi="Times New Roman" w:cs="Times New Roman"/>
        </w:rPr>
        <w:t xml:space="preserve">cela a été </w:t>
      </w:r>
      <w:r w:rsidR="00302B3D">
        <w:rPr>
          <w:rFonts w:ascii="Times New Roman" w:hAnsi="Times New Roman" w:cs="Times New Roman"/>
        </w:rPr>
        <w:t xml:space="preserve">déjà évoqué, </w:t>
      </w:r>
      <w:r w:rsidR="007502AC" w:rsidRPr="007502AC">
        <w:rPr>
          <w:rFonts w:ascii="Times New Roman" w:hAnsi="Times New Roman" w:cs="Times New Roman"/>
        </w:rPr>
        <w:t>cette organisation s’inscrit historiquement dans la continuité de la démocratie sanitaire, telle qu’introduite par la loi du 4 mars 200</w:t>
      </w:r>
      <w:r w:rsidR="007502AC">
        <w:rPr>
          <w:rFonts w:ascii="Times New Roman" w:hAnsi="Times New Roman" w:cs="Times New Roman"/>
        </w:rPr>
        <w:t>2</w:t>
      </w:r>
      <w:r w:rsidR="00A31335" w:rsidRPr="00A31335">
        <w:rPr>
          <w:rFonts w:ascii="Times New Roman" w:hAnsi="Times New Roman" w:cs="Times New Roman"/>
        </w:rPr>
        <w:t>. Cette approche reposait principalement sur la participation institutionnelle des usagers et des professionnels du système de soins à la gouvernance sanitaire. Lors de la création des CTS en 2016, cette logique structurait largement leur composition, avec une organisation par collèges et des membres nommés par le Directeur général de l’ARS, en lien étroit avec le champ du sanitaire.</w:t>
      </w:r>
    </w:p>
    <w:p w14:paraId="3677201B" w14:textId="77777777" w:rsidR="00A31335" w:rsidRPr="00A31335" w:rsidRDefault="00A31335" w:rsidP="009123EF">
      <w:pPr>
        <w:spacing w:line="276" w:lineRule="auto"/>
        <w:jc w:val="both"/>
        <w:rPr>
          <w:rFonts w:ascii="Times New Roman" w:hAnsi="Times New Roman" w:cs="Times New Roman"/>
        </w:rPr>
      </w:pPr>
      <w:r w:rsidRPr="00A31335">
        <w:rPr>
          <w:rFonts w:ascii="Times New Roman" w:hAnsi="Times New Roman" w:cs="Times New Roman"/>
        </w:rPr>
        <w:t>Toutefois, la conception de la santé a progressivement évolué. La santé n’est plus appréhendée uniquement à partir du soin, mais comme le résultat d’interactions entre des déterminants sociaux, économiques, environnementaux et territoriaux. Cette évolution rejoint la définition large de la santé présentée dans la partie précédente et conduit à reconnaître que de nombreuses politiques publiques, au-delà du seul champ sanitaire, influencent directement l’état de santé des populations.</w:t>
      </w:r>
    </w:p>
    <w:p w14:paraId="13178367" w14:textId="77777777" w:rsidR="00A31335" w:rsidRPr="00A31335" w:rsidRDefault="00A31335" w:rsidP="009123EF">
      <w:pPr>
        <w:spacing w:line="276" w:lineRule="auto"/>
        <w:jc w:val="both"/>
        <w:rPr>
          <w:rFonts w:ascii="Times New Roman" w:hAnsi="Times New Roman" w:cs="Times New Roman"/>
        </w:rPr>
      </w:pPr>
      <w:r w:rsidRPr="00A31335">
        <w:rPr>
          <w:rFonts w:ascii="Times New Roman" w:hAnsi="Times New Roman" w:cs="Times New Roman"/>
        </w:rPr>
        <w:t>C’est dans ce contexte que s’est affirmée la notion de démocratie en santé. Celle-ci englobe la démocratie sanitaire, tout en élargissant son périmètre. Elle vise à associer un ensemble plus large de parties prenantes à la réflexion et à l’élaboration des politiques publiques de santé, en considérant que l’amélioration de la santé des populations suppose une approche intersectorielle. Le « S » des Agences Régionales de Santé renvoie ainsi à la santé dans son acception globale, et non à une approche strictement centrée sur le soin.</w:t>
      </w:r>
    </w:p>
    <w:p w14:paraId="0818C6DC" w14:textId="32A0BE5D" w:rsidR="00A31335" w:rsidRPr="00F91714" w:rsidRDefault="00A31335" w:rsidP="009123EF">
      <w:pPr>
        <w:spacing w:line="276" w:lineRule="auto"/>
        <w:jc w:val="both"/>
        <w:rPr>
          <w:rFonts w:ascii="Times New Roman" w:hAnsi="Times New Roman" w:cs="Times New Roman"/>
        </w:rPr>
      </w:pPr>
      <w:r w:rsidRPr="00A31335">
        <w:rPr>
          <w:rFonts w:ascii="Times New Roman" w:hAnsi="Times New Roman" w:cs="Times New Roman"/>
        </w:rPr>
        <w:t>Aujourd’hui, le CTS relève pleinement de cette logique de démocratie en santé. Son rattachement administratif à l’ARS ne limite pas son champ d’intervention au système de soins, mais l’inscrit dans une approche territorialisée de la santé, attentive aux conditions de vie, à l’organisation des services, aux parcours des personnes et aux dynamiques sociales locales.</w:t>
      </w:r>
      <w:r w:rsidR="00F91714" w:rsidRPr="00F91714">
        <w:t xml:space="preserve"> </w:t>
      </w:r>
      <w:r w:rsidR="00F91714" w:rsidRPr="00F91714">
        <w:rPr>
          <w:rFonts w:ascii="Times New Roman" w:hAnsi="Times New Roman" w:cs="Times New Roman"/>
        </w:rPr>
        <w:t>Le CTS peut ainsi constituer un espace de dialogue où peuvent être mis en discussion des enjeux de santé qui dépassent le cadre strictement sanitaire. Cette ouverture illustre une manière de faire vivre concrètement la démocratie en santé, en élargissant les espaces de dialogue et en encourageant la mise en discussion des enjeux territoriaux, tout en maintenant un cadre formel dans lequel les avis et votes sont réservés aux membres officiellement désignés du CTS.</w:t>
      </w:r>
    </w:p>
    <w:p w14:paraId="6AB8E18D" w14:textId="5A7FCD56" w:rsidR="00834E70" w:rsidRPr="009123EF" w:rsidRDefault="00834E70" w:rsidP="009123EF">
      <w:pPr>
        <w:spacing w:line="276" w:lineRule="auto"/>
        <w:jc w:val="both"/>
        <w:rPr>
          <w:rFonts w:ascii="Times New Roman" w:hAnsi="Times New Roman" w:cs="Times New Roman"/>
        </w:rPr>
      </w:pPr>
      <w:r w:rsidRPr="009123EF">
        <w:rPr>
          <w:rFonts w:ascii="Times New Roman" w:hAnsi="Times New Roman" w:cs="Times New Roman"/>
        </w:rPr>
        <w:t xml:space="preserve">Dans le Val-de-Marne, cette orientation se traduit notamment par une volonté d’élargir la participation au-delà du cadre formel prévu par les textes. Alors que le cadre </w:t>
      </w:r>
      <w:r w:rsidR="00C63634">
        <w:rPr>
          <w:rFonts w:ascii="Times New Roman" w:hAnsi="Times New Roman" w:cs="Times New Roman"/>
        </w:rPr>
        <w:t>légal</w:t>
      </w:r>
      <w:r w:rsidRPr="009123EF">
        <w:rPr>
          <w:rFonts w:ascii="Times New Roman" w:hAnsi="Times New Roman" w:cs="Times New Roman"/>
        </w:rPr>
        <w:t xml:space="preserve"> prévoit un nombre limité de membres, les séances plénières du CTS donnent lieu à la convocation d’un public beaucoup plus large, pouvant concerner environ 280 acteurs du territoire. Cette ouverture ne modifie pas le cadre juridique de l’instance, </w:t>
      </w:r>
      <w:r w:rsidRPr="009123EF">
        <w:rPr>
          <w:rFonts w:ascii="Times New Roman" w:hAnsi="Times New Roman" w:cs="Times New Roman"/>
        </w:rPr>
        <w:lastRenderedPageBreak/>
        <w:t>mais elle s’inscrit dans une démarche visant à favoriser l’expression d’un plus grand nombre de parties prenantes concernées par les enjeux de santé. Elle illustre une manière de faire vivre concrètement la démocratie en santé, en élargissant les espaces de dialogue et en encourageant la mise en discussion des enjeux territoriaux.</w:t>
      </w:r>
    </w:p>
    <w:p w14:paraId="19375632" w14:textId="6B4FCF89" w:rsidR="00A6491C" w:rsidRDefault="00A31335" w:rsidP="009123EF">
      <w:pPr>
        <w:spacing w:line="276" w:lineRule="auto"/>
        <w:jc w:val="both"/>
        <w:rPr>
          <w:rFonts w:ascii="Times New Roman" w:hAnsi="Times New Roman" w:cs="Times New Roman"/>
        </w:rPr>
      </w:pPr>
      <w:r w:rsidRPr="00A31335">
        <w:rPr>
          <w:rFonts w:ascii="Times New Roman" w:hAnsi="Times New Roman" w:cs="Times New Roman"/>
        </w:rPr>
        <w:t>Ainsi, le CTS se situe à la croisée d’un cadre institutionnel hérité de la démocratie sanitaire et d’une ambition contemporaine de démocratie en santé. Cette position reflète les évolutions des politiques publiques de santé, qui invitent à dépasser une approche centrée sur le soin pour intégrer une vision plus large, transversale et territorialisée de la santé. Dans cette perspective, le CTS apparaît comme un outil de gouvernance locale permettant d’éclairer l’action publique à partir d’une compréhension partagée des enjeux de santé.</w:t>
      </w:r>
      <w:r w:rsidR="00FB1C96">
        <w:rPr>
          <w:rFonts w:ascii="Times New Roman" w:hAnsi="Times New Roman" w:cs="Times New Roman"/>
        </w:rPr>
        <w:t xml:space="preserve"> </w:t>
      </w:r>
    </w:p>
    <w:p w14:paraId="077933D9" w14:textId="22AEC77A" w:rsidR="00FC420C" w:rsidRPr="00C23BAE" w:rsidRDefault="00FC420C" w:rsidP="00FC420C">
      <w:pPr>
        <w:spacing w:line="276" w:lineRule="auto"/>
        <w:jc w:val="both"/>
        <w:rPr>
          <w:rFonts w:ascii="Times New Roman" w:hAnsi="Times New Roman" w:cs="Times New Roman"/>
        </w:rPr>
      </w:pPr>
      <w:r w:rsidRPr="00C23BAE">
        <w:rPr>
          <w:rFonts w:ascii="Times New Roman" w:hAnsi="Times New Roman" w:cs="Times New Roman"/>
        </w:rPr>
        <w:t>Cependant, cette capacité du CTS à jouer pleinement ce rôle dépend toutefois des conditions concrètes dans lesquelles s’exerce la participation des différentes parties prenantes à la démocratie en santé. Si le CTS constitue un espace reconnu de concertation territoriale, sa capacité à influencer les politiques publiques demeure liée à l’implication effective des acteurs disposant des leviers de décision et d’investissement, au premier rang desquels figure l’Agence régionale de santé.</w:t>
      </w:r>
    </w:p>
    <w:p w14:paraId="4FC6CA3F" w14:textId="77777777" w:rsidR="00FC420C" w:rsidRPr="00C23BAE" w:rsidRDefault="00FC420C" w:rsidP="00FC420C">
      <w:pPr>
        <w:spacing w:line="276" w:lineRule="auto"/>
        <w:jc w:val="both"/>
        <w:rPr>
          <w:rFonts w:ascii="Times New Roman" w:hAnsi="Times New Roman" w:cs="Times New Roman"/>
        </w:rPr>
      </w:pPr>
      <w:r w:rsidRPr="00C23BAE">
        <w:rPr>
          <w:rFonts w:ascii="Times New Roman" w:hAnsi="Times New Roman" w:cs="Times New Roman"/>
        </w:rPr>
        <w:t>Le caractère consultatif du CTS, combiné à l’absence de mécanismes formalisés garantissant la prise en compte de ses avis, expose le dispositif à un risque de participation essentiellement procédurale. Dans certaines configurations, les CTS peuvent ainsi devenir des espaces riches en constats, en analyses et en propositions, sans que leurs travaux n’aient d’incidence significative sur les processus de décision, lesquels continuent de se structurer en dehors du cadre de la concertation.</w:t>
      </w:r>
    </w:p>
    <w:p w14:paraId="1849B87E" w14:textId="77777777" w:rsidR="00FC420C" w:rsidRPr="00C23BAE" w:rsidRDefault="00FC420C" w:rsidP="00FC420C">
      <w:pPr>
        <w:spacing w:line="276" w:lineRule="auto"/>
        <w:jc w:val="both"/>
        <w:rPr>
          <w:rFonts w:ascii="Times New Roman" w:hAnsi="Times New Roman" w:cs="Times New Roman"/>
        </w:rPr>
      </w:pPr>
      <w:r w:rsidRPr="00C23BAE">
        <w:rPr>
          <w:rFonts w:ascii="Times New Roman" w:hAnsi="Times New Roman" w:cs="Times New Roman"/>
        </w:rPr>
        <w:t>Un tel décalage est susceptible d’alimenter, chez les acteurs de terrain, un sentiment de lassitude ou de perte de sens lorsque les contributions formulées ne sont que partiellement intégrées, ou mobilisées de manière ponctuelle pour accompagner des orientations déjà définies. À terme, cette situation fragilise la crédibilité du CTS et interroge la portée effective de la démocratie en santé, qui risque alors d’être réduite à un exercice formel, alors même que son ambition est d’éclairer l’action publique à partir des réalités territoriales, des besoins des populations et de la capacité de mobilisation des acteurs locaux.</w:t>
      </w:r>
    </w:p>
    <w:p w14:paraId="190FB843" w14:textId="77777777" w:rsidR="004F225C" w:rsidRDefault="004F225C" w:rsidP="009123EF">
      <w:pPr>
        <w:spacing w:line="276" w:lineRule="auto"/>
        <w:jc w:val="both"/>
        <w:rPr>
          <w:rFonts w:ascii="Times New Roman" w:hAnsi="Times New Roman" w:cs="Times New Roman"/>
        </w:rPr>
      </w:pPr>
    </w:p>
    <w:p w14:paraId="0AAFD50A" w14:textId="3734A4BC" w:rsidR="00A162DE" w:rsidRPr="009123EF" w:rsidRDefault="00371F82" w:rsidP="00FD4509">
      <w:pPr>
        <w:pStyle w:val="Titre1"/>
      </w:pPr>
      <w:bookmarkStart w:id="8" w:name="_Toc217385606"/>
      <w:r w:rsidRPr="009123EF">
        <w:t>Les inégalités sociales et territoriales de santé</w:t>
      </w:r>
      <w:r w:rsidR="007055E7" w:rsidRPr="009123EF">
        <w:t xml:space="preserve"> : </w:t>
      </w:r>
      <w:r w:rsidR="00BC607E" w:rsidRPr="009123EF">
        <w:t xml:space="preserve">une finalité des politiques publiques de </w:t>
      </w:r>
      <w:r w:rsidR="00BC607E" w:rsidRPr="0046513F">
        <w:t>santé</w:t>
      </w:r>
      <w:bookmarkEnd w:id="8"/>
    </w:p>
    <w:p w14:paraId="495A08CD" w14:textId="77777777" w:rsidR="007F2649" w:rsidRPr="009123EF" w:rsidRDefault="007F2649" w:rsidP="009123EF">
      <w:pPr>
        <w:pStyle w:val="NormalWeb"/>
        <w:spacing w:line="276" w:lineRule="auto"/>
        <w:jc w:val="both"/>
      </w:pPr>
      <w:r w:rsidRPr="009123EF">
        <w:t>Les deux premières parties ont permis de poser les fondements nécessaires à la compréhension de l’action territoriale en santé. D’une part, elles ont montré que la santé ne peut être appréhendée indépendamment de ses déterminants sociaux, économiques, environnementaux et territoriaux. D’autre part, elles ont situé le Conseil Territorial de Santé dans un cadre institutionnel et démocratique appelé à dépasser une logique strictement sanitaire pour s’inscrire dans une approche plus transversale de la santé publique.</w:t>
      </w:r>
    </w:p>
    <w:p w14:paraId="1E108780" w14:textId="77777777" w:rsidR="007F2649" w:rsidRPr="009123EF" w:rsidRDefault="007F2649" w:rsidP="009123EF">
      <w:pPr>
        <w:pStyle w:val="NormalWeb"/>
        <w:spacing w:line="276" w:lineRule="auto"/>
        <w:jc w:val="both"/>
      </w:pPr>
      <w:r w:rsidRPr="009123EF">
        <w:t xml:space="preserve">Dans ce prolongement, la question des inégalités sociales et territoriales de santé constitue un point de passage essentiel du raisonnement. Alors même que certains indicateurs globaux de santé peuvent s’améliorer, les écarts entre populations et territoires tendent à persister, voire à se creuser. Ces inégalités </w:t>
      </w:r>
      <w:r w:rsidRPr="009123EF">
        <w:lastRenderedPageBreak/>
        <w:t>ne relèvent pas de dysfonctionnements ponctuels, mais de mécanismes structurels profondément ancrés dans les conditions de vie et les dynamiques territoriales. Leur compréhension apparaît dès lors comme un enjeu central pour évaluer la pertinence et les limites des politiques publiques de santé.</w:t>
      </w:r>
    </w:p>
    <w:p w14:paraId="7B2B09F8" w14:textId="77777777" w:rsidR="007F2649" w:rsidRPr="009123EF" w:rsidRDefault="007F2649" w:rsidP="009123EF">
      <w:pPr>
        <w:pStyle w:val="NormalWeb"/>
        <w:spacing w:line="276" w:lineRule="auto"/>
        <w:jc w:val="both"/>
      </w:pPr>
      <w:r w:rsidRPr="009123EF">
        <w:t>Parce que ces inégalités se construisent au plus près des réalités locales — à travers l’accumulation de déterminants sociaux, économiques et territoriaux — leur prise en compte ne peut se limiter à des approches principalement descendantes. Elle suppose une capacité à faire remonter les expériences, les besoins et les vulnérabilités des territoires vers les espaces de conception et d’orientation des politiques publiques. C’est précisément dans cette tension entre production locale des inégalités et élaboration souvent centralisée des réponses publiques que s’inscrit l’intérêt du CTS comme instance intermédiaire de démocratie en santé.</w:t>
      </w:r>
    </w:p>
    <w:p w14:paraId="462904FB" w14:textId="222F4F6B" w:rsidR="005C7C66" w:rsidRDefault="007F2649" w:rsidP="009123EF">
      <w:pPr>
        <w:pStyle w:val="NormalWeb"/>
        <w:spacing w:line="276" w:lineRule="auto"/>
        <w:jc w:val="both"/>
      </w:pPr>
      <w:r w:rsidRPr="009123EF">
        <w:t>Cette partie vise ainsi à montrer en quoi l’analyse des inégalités sociales et territoriales de santé est indispensable pour comprendre le rôle que peut jouer le CTS dans la gouvernance locale de la santé. Elle propose d’abord de clarifier les notions et les mécanismes à l’œuvre, à partir de repères théoriques issus des sciences sociales et de la santé publique. Elle s’attache ensuite à examiner leur expression concrète à l’échelle du Val-de-Marne, afin de mettre en évidence comment ces inégalités se construisent et se recomposent localement. Ce cheminement permet de comprendre pourquoi une instance territorialisée, participative et transversale comme le CTS constitue un levier pertinent pour éclairer et orienter l’action publique locale en santé.</w:t>
      </w:r>
    </w:p>
    <w:p w14:paraId="1EBB4C42" w14:textId="77777777" w:rsidR="006E0F8E" w:rsidRPr="009123EF" w:rsidRDefault="006E0F8E" w:rsidP="009123EF">
      <w:pPr>
        <w:pStyle w:val="NormalWeb"/>
        <w:spacing w:line="276" w:lineRule="auto"/>
        <w:jc w:val="both"/>
      </w:pPr>
    </w:p>
    <w:p w14:paraId="266B6488" w14:textId="04BDD79F" w:rsidR="00A162DE" w:rsidRPr="009123EF" w:rsidRDefault="00FD4CBF" w:rsidP="00FD4509">
      <w:pPr>
        <w:pStyle w:val="Titre2"/>
      </w:pPr>
      <w:r w:rsidRPr="009123EF">
        <w:t xml:space="preserve">Définition </w:t>
      </w:r>
      <w:r w:rsidR="009C2610" w:rsidRPr="009123EF">
        <w:t xml:space="preserve">des inégalités sociales territoriales de santé </w:t>
      </w:r>
    </w:p>
    <w:p w14:paraId="38527A7B" w14:textId="77777777" w:rsidR="006B4AFF" w:rsidRPr="009123EF" w:rsidRDefault="006B4AFF" w:rsidP="009123EF">
      <w:pPr>
        <w:pStyle w:val="NormalWeb"/>
        <w:spacing w:line="276" w:lineRule="auto"/>
        <w:jc w:val="both"/>
      </w:pPr>
      <w:r w:rsidRPr="009123EF">
        <w:t>Les inégalités sociales et territoriales de santé sont fréquemment mobilisées dans les politiques publiques de santé, sans toujours être précisées dans leurs mécanismes. En clarifier le sens permet de mieux comprendre ce qui se joue derrière les écarts observés entre populations et territoires, et de disposer de repères partagés pour l’analyse des situations locales.</w:t>
      </w:r>
    </w:p>
    <w:p w14:paraId="66261ED8" w14:textId="77777777" w:rsidR="006B4AFF" w:rsidRPr="009123EF" w:rsidRDefault="006B4AFF" w:rsidP="009123EF">
      <w:pPr>
        <w:pStyle w:val="NormalWeb"/>
        <w:spacing w:line="276" w:lineRule="auto"/>
        <w:jc w:val="both"/>
      </w:pPr>
      <w:r w:rsidRPr="009123EF">
        <w:t xml:space="preserve">Les inégalités sociales et territoriales de santé désignent des différences d’état de santé, d’accès aux soins, de recours à la prévention ou d’exposition aux risques sanitaires entre groupes de population. Selon les approches développées par l’Organisation mondiale de la santé, la DREES ou l’INSEE, ces écarts ne relèvent ni de phénomènes aléatoires ni de déterminismes strictement biologiques, mais s’inscrivent dans des contextes sociaux, économiques et territoriaux différenciés. </w:t>
      </w:r>
    </w:p>
    <w:p w14:paraId="3D74D32E" w14:textId="33BFF4FB" w:rsidR="006B4AFF" w:rsidRPr="009123EF" w:rsidRDefault="006B4AFF" w:rsidP="009123EF">
      <w:pPr>
        <w:pStyle w:val="NormalWeb"/>
        <w:spacing w:line="276" w:lineRule="auto"/>
        <w:jc w:val="both"/>
      </w:pPr>
      <w:r w:rsidRPr="009123EF">
        <w:t xml:space="preserve">La dimension sociale renvoie à la position occupée par les individus dans la société. Le niveau de revenu, le diplôme, la situation professionnelle, les conditions de logement ou la stabilité économique influencent durablement les trajectoires de vie et les comportements de santé. De nombreux travaux ont mis en évidence l’existence d’un </w:t>
      </w:r>
      <w:r w:rsidRPr="009123EF">
        <w:rPr>
          <w:rStyle w:val="lev"/>
          <w:rFonts w:eastAsiaTheme="majorEastAsia"/>
          <w:b w:val="0"/>
          <w:bCs w:val="0"/>
        </w:rPr>
        <w:t>gradient social de santé</w:t>
      </w:r>
      <w:r w:rsidRPr="009123EF">
        <w:t xml:space="preserve"> : à mesure que l’on descend dans l’échelle sociale, l’état de santé tend à se dégrader. Cette dégradation ne concerne pas uniquement les situations de grande vulnérabilité, mais s’observe tout au long du gradient, traduisant une relation continue entre conditions sociales et santé.</w:t>
      </w:r>
    </w:p>
    <w:p w14:paraId="45D659B6" w14:textId="77777777" w:rsidR="006B4AFF" w:rsidRPr="009123EF" w:rsidRDefault="006B4AFF" w:rsidP="009123EF">
      <w:pPr>
        <w:pStyle w:val="NormalWeb"/>
        <w:spacing w:line="276" w:lineRule="auto"/>
        <w:jc w:val="both"/>
      </w:pPr>
      <w:r w:rsidRPr="009123EF">
        <w:t xml:space="preserve">Ce gradient s’explique par l’accumulation de déterminants défavorables. Les populations en situation de précarité sont plus souvent confrontées à des conditions de logement dégradées, à des emplois plus pénibles </w:t>
      </w:r>
      <w:r w:rsidRPr="009123EF">
        <w:lastRenderedPageBreak/>
        <w:t>ou instables, à des contraintes de mobilité, à une alimentation moins équilibrée et à un moindre accès à l’information. Ces conditions influencent non seulement l’état de santé, mais aussi la capacité à s’engager dans des démarches de prévention. Les politiques de prévention, lorsqu’elles reposent principalement sur des messages généraux ou des démarches individuelles, tendent ainsi à bénéficier en priorité aux populations les plus favorisées, contribuant parfois à maintenir, voire à accentuer les écarts existants, même lorsque les indicateurs globaux de santé s’améliorent.</w:t>
      </w:r>
    </w:p>
    <w:p w14:paraId="4B3C7854" w14:textId="77777777" w:rsidR="006B4AFF" w:rsidRPr="009123EF" w:rsidRDefault="006B4AFF" w:rsidP="009123EF">
      <w:pPr>
        <w:pStyle w:val="NormalWeb"/>
        <w:spacing w:line="276" w:lineRule="auto"/>
        <w:jc w:val="both"/>
      </w:pPr>
      <w:r w:rsidRPr="009123EF">
        <w:t>À cette dimension sociale s’ajoute une dimension territoriale. Le lieu de vie conditionne l’accès à l’offre de soins, aux services publics, aux transports, à des logements de qualité ou à des environnements favorables à la santé. Il influe également sur l’exposition à certaines nuisances, comme la pollution, le bruit ou l’insécurité, ainsi que sur les possibilités concrètes de prévention et de recours aux dispositifs existants. Les dynamiques urbaines, telles que la gentrification, la spécialisation sociale des quartiers ou la concentration de populations précaires dans certains espaces, contribuent à structurer ces différenciations territoriales.</w:t>
      </w:r>
    </w:p>
    <w:p w14:paraId="3D16CD0C" w14:textId="77777777" w:rsidR="006B4AFF" w:rsidRPr="009123EF" w:rsidRDefault="006B4AFF" w:rsidP="009123EF">
      <w:pPr>
        <w:pStyle w:val="NormalWeb"/>
        <w:spacing w:line="276" w:lineRule="auto"/>
        <w:jc w:val="both"/>
      </w:pPr>
      <w:r w:rsidRPr="009123EF">
        <w:t>Ces deux dimensions sont étroitement liées. Les transformations sociales s’inscrivent progressivement dans l’espace et produisent des territoires socialement différenciés. Plusieurs travaux en sociologie et en géographie sociale ont montré que la diminution de la mixité sociale et la segmentation résidentielle conduisent à la constitution de territoires cumulant avantages ou fragilités. Dans ce processus, des inégalités d’origine sociale prennent une forme territoriale lorsque certains groupes se trouvent durablement concentrés dans des espaces où se superposent précarité économique, contraintes environnementales et moindre accessibilité aux ressources.</w:t>
      </w:r>
    </w:p>
    <w:p w14:paraId="78D0DF50" w14:textId="79409165" w:rsidR="006B4AFF" w:rsidRPr="009123EF" w:rsidRDefault="006B4AFF" w:rsidP="009123EF">
      <w:pPr>
        <w:pStyle w:val="NormalWeb"/>
        <w:spacing w:line="276" w:lineRule="auto"/>
        <w:jc w:val="both"/>
      </w:pPr>
      <w:r w:rsidRPr="009123EF">
        <w:t>Or ces contextes territoriaux ont des effets directs sur la santé. Les conditions de logement, l’environnement, l’organisation de l’offre de soins, les possibilités de mobilité ou encore l’accès aux droits influencent les parcours de santé. Lorsque des déterminants sociaux défavorables se combinent à des contraintes territoriales, les écarts de santé tendent à se renforcer. C’est dans cette articulation que se construisent les inégalités sociales et territoriales de santé, entendues comme des écarts résultant à la fois des conditions sociales des individus et des caractéristiques des territoires dans lesquels ils vivent.</w:t>
      </w:r>
    </w:p>
    <w:p w14:paraId="00140584" w14:textId="77777777" w:rsidR="006B4AFF" w:rsidRPr="009123EF" w:rsidRDefault="006B4AFF" w:rsidP="009123EF">
      <w:pPr>
        <w:pStyle w:val="NormalWeb"/>
        <w:spacing w:line="276" w:lineRule="auto"/>
        <w:jc w:val="both"/>
      </w:pPr>
      <w:r w:rsidRPr="009123EF">
        <w:t>Dans ce cadre, la réduction des inégalités sociales et territoriales de santé constitue l’une des finalités explicites des politiques publiques de santé, qu’elles soient locales, régionales ou nationales. Cette orientation est notamment affirmée dans les projets régionaux de santé, qui placent la lutte contre les inégalités au cœur de leurs objectifs stratégiques. Les ISTS deviennent ainsi un repère central pour analyser la cohérence, la portée et les effets des actions menées sur les territoires.</w:t>
      </w:r>
    </w:p>
    <w:p w14:paraId="1B243966" w14:textId="77777777" w:rsidR="006B4AFF" w:rsidRPr="009123EF" w:rsidRDefault="006B4AFF" w:rsidP="009123EF">
      <w:pPr>
        <w:pStyle w:val="NormalWeb"/>
        <w:spacing w:line="276" w:lineRule="auto"/>
        <w:jc w:val="both"/>
      </w:pPr>
      <w:r w:rsidRPr="009123EF">
        <w:t>Dans cette perspective, le CTS ne se limite pas à la constatation d’écarts statistiques entre communes ou quartiers. Son rôle consiste à contribuer à la compréhension des mécanismes qui produisent ces inégalités, en croisant les regards des acteurs du territoire. Cette lecture partagée permet d’éclairer les échanges collectifs, d’identifier des priorités et de situer les interventions possibles au regard des réalités sociales et territoriales.</w:t>
      </w:r>
    </w:p>
    <w:p w14:paraId="1809A444" w14:textId="7ADCCB2A" w:rsidR="006B4AFF" w:rsidRDefault="006B4AFF" w:rsidP="009123EF">
      <w:pPr>
        <w:pStyle w:val="NormalWeb"/>
        <w:spacing w:line="276" w:lineRule="auto"/>
        <w:jc w:val="both"/>
      </w:pPr>
      <w:r w:rsidRPr="009123EF">
        <w:t xml:space="preserve">Ainsi, l’analyse des inégalités sociales et territoriales de santé constitue un appui essentiel pour l’action du CTS. Elle contribue à structurer les débats locaux et à renforcer la cohérence des politiques de santé </w:t>
      </w:r>
      <w:r w:rsidRPr="009123EF">
        <w:lastRenderedPageBreak/>
        <w:t>territoriales, dans une logique de démocratie en santé attentive aux conditions de vie et aux besoins des populations.</w:t>
      </w:r>
    </w:p>
    <w:p w14:paraId="69A57246" w14:textId="77777777" w:rsidR="006E0F8E" w:rsidRPr="009123EF" w:rsidRDefault="006E0F8E" w:rsidP="009123EF">
      <w:pPr>
        <w:pStyle w:val="NormalWeb"/>
        <w:spacing w:line="276" w:lineRule="auto"/>
        <w:jc w:val="both"/>
      </w:pPr>
    </w:p>
    <w:p w14:paraId="54F25B3B" w14:textId="60110B9C" w:rsidR="00D675F6" w:rsidRPr="009123EF" w:rsidRDefault="00D675F6" w:rsidP="00FD4509">
      <w:pPr>
        <w:pStyle w:val="Titre2"/>
      </w:pPr>
      <w:r w:rsidRPr="009123EF">
        <w:t xml:space="preserve">Repères conceptuels  </w:t>
      </w:r>
    </w:p>
    <w:p w14:paraId="78E40BBB" w14:textId="77777777" w:rsidR="00E5205A" w:rsidRPr="009123EF" w:rsidRDefault="00E5205A" w:rsidP="009123EF">
      <w:pPr>
        <w:pStyle w:val="NormalWeb"/>
        <w:spacing w:line="276" w:lineRule="auto"/>
        <w:jc w:val="both"/>
      </w:pPr>
      <w:r w:rsidRPr="009123EF">
        <w:t>Plusieurs travaux issus des sciences sociales et de la santé publique apportent des repères utiles pour analyser les dynamiques à l’œuvre dans les politiques de santé et, plus largement, dans la prise en compte des inégalités à l’échelle des territoires. Ces approches ne constituent pas des modèles opérationnels à appliquer tels quels, mais des cadres de lecture permettant de situer l’action du CTS dans une perspective structurelle, transversale et de long terme.</w:t>
      </w:r>
    </w:p>
    <w:p w14:paraId="5FA2F89F" w14:textId="0A918B33" w:rsidR="00E5205A" w:rsidRPr="009123EF" w:rsidRDefault="00E5205A" w:rsidP="009123EF">
      <w:pPr>
        <w:pStyle w:val="NormalWeb"/>
        <w:spacing w:line="276" w:lineRule="auto"/>
        <w:jc w:val="both"/>
      </w:pPr>
      <w:r w:rsidRPr="009123EF">
        <w:t xml:space="preserve">Il importe toutefois de souligner que ces références théoriques éclairent avant tout des </w:t>
      </w:r>
      <w:r w:rsidRPr="009123EF">
        <w:rPr>
          <w:rStyle w:val="lev"/>
          <w:rFonts w:eastAsiaTheme="majorEastAsia"/>
          <w:b w:val="0"/>
          <w:bCs w:val="0"/>
        </w:rPr>
        <w:t>orientations possibles</w:t>
      </w:r>
      <w:r w:rsidRPr="009123EF">
        <w:rPr>
          <w:b/>
          <w:bCs/>
        </w:rPr>
        <w:t xml:space="preserve"> </w:t>
      </w:r>
      <w:r w:rsidRPr="009123EF">
        <w:t>et des</w:t>
      </w:r>
      <w:r w:rsidRPr="009123EF">
        <w:rPr>
          <w:b/>
          <w:bCs/>
        </w:rPr>
        <w:t xml:space="preserve"> </w:t>
      </w:r>
      <w:r w:rsidRPr="009123EF">
        <w:rPr>
          <w:rStyle w:val="lev"/>
          <w:rFonts w:eastAsiaTheme="majorEastAsia"/>
          <w:b w:val="0"/>
          <w:bCs w:val="0"/>
        </w:rPr>
        <w:t>logiques d’action</w:t>
      </w:r>
      <w:r w:rsidRPr="009123EF">
        <w:rPr>
          <w:b/>
          <w:bCs/>
        </w:rPr>
        <w:t>,</w:t>
      </w:r>
      <w:r w:rsidRPr="009123EF">
        <w:t xml:space="preserve"> et non un modèle unique du CTS. Depuis leur création, les CTS ont évolué de manière différenciée selon les territoires, en fonction des dynamiques locales, des acteurs impliqués et du positionnement des ARS. Les cadres théoriques présentés ici permettent donc de mieux comprendre les intentions, les tensions et les marges d’évolution de ces instances, plutôt que de définir une forme stabilisée ou homogène de leur fonctionnement.</w:t>
      </w:r>
    </w:p>
    <w:p w14:paraId="0A28D6FD" w14:textId="77777777" w:rsidR="00E5205A" w:rsidRPr="009123EF" w:rsidRDefault="00E5205A" w:rsidP="009123EF">
      <w:pPr>
        <w:pStyle w:val="NormalWeb"/>
        <w:spacing w:line="276" w:lineRule="auto"/>
        <w:jc w:val="both"/>
      </w:pPr>
      <w:r w:rsidRPr="009123EF">
        <w:t xml:space="preserve">Les travaux de Richard Wilkinson et Kate Pickett, notamment dans </w:t>
      </w:r>
      <w:r w:rsidRPr="009123EF">
        <w:rPr>
          <w:rStyle w:val="Accentuation"/>
          <w:rFonts w:eastAsiaTheme="majorEastAsia"/>
        </w:rPr>
        <w:t>The Spirit Level</w:t>
      </w:r>
      <w:r w:rsidRPr="009123EF">
        <w:t xml:space="preserve"> (2009) et </w:t>
      </w:r>
      <w:r w:rsidRPr="009123EF">
        <w:rPr>
          <w:rStyle w:val="Accentuation"/>
          <w:rFonts w:eastAsiaTheme="majorEastAsia"/>
        </w:rPr>
        <w:t>The Inner Level</w:t>
      </w:r>
      <w:r w:rsidRPr="009123EF">
        <w:t xml:space="preserve"> (2018), mettent en évidence les liens entre le niveau d’inégalités au sein d’une société et différents indicateurs de santé, de bien-être et de cohésion sociale. Ils montrent que la santé des populations dépend moins du niveau global de richesse que de la manière dont les ressources et les opportunités sont distribuées. Cette approche permet de comprendre pourquoi des politiques de santé peuvent améliorer certains indicateurs globaux tout en laissant persister, voire s’accentuer, des écarts entre groupes sociaux ou territoires. À l’échelle territoriale, elle invite à porter l’attention non seulement sur les moyennes, mais sur les écarts internes et les dynamiques de différenciation sociale.</w:t>
      </w:r>
    </w:p>
    <w:p w14:paraId="5BCC589D" w14:textId="77777777" w:rsidR="00E5205A" w:rsidRPr="009123EF" w:rsidRDefault="00E5205A" w:rsidP="009123EF">
      <w:pPr>
        <w:pStyle w:val="NormalWeb"/>
        <w:spacing w:line="276" w:lineRule="auto"/>
        <w:jc w:val="both"/>
      </w:pPr>
      <w:r w:rsidRPr="009123EF">
        <w:t>Cette lecture rejoint les analyses économiques de Thomas Piketty, qui mettent en évidence les effets durables de la concentration des richesses sur les trajectoires sociales. Bien que ses travaux ne portent pas directement sur la santé, ils offrent des clés pour comprendre comment des déséquilibres économiques structurels se traduisent par des inégalités d’accès à des ressources essentielles — logement, emploi, services publics — qui influencent indirectement mais durablement l’état de santé des populations. À l’échelle des territoires, ces dynamiques contribuent à la constitution d’espaces durablement favorisés ou fragilisés, rendant plus complexes les actions de réduction des inégalités.</w:t>
      </w:r>
    </w:p>
    <w:p w14:paraId="49705B6C" w14:textId="77777777" w:rsidR="00E5205A" w:rsidRPr="009123EF" w:rsidRDefault="00E5205A" w:rsidP="009123EF">
      <w:pPr>
        <w:pStyle w:val="NormalWeb"/>
        <w:spacing w:line="276" w:lineRule="auto"/>
        <w:jc w:val="both"/>
      </w:pPr>
      <w:r w:rsidRPr="009123EF">
        <w:t xml:space="preserve">Ces constats sont approfondis par la théorie des « causes fondamentales » développée par Link et Phelan, et largement diffusée par Michael Marmot. Cette approche propose de déplacer l’analyse des facteurs de risque immédiats vers les conditions sociales, économiques et environnementales qui déterminent l’exposition aux risques et la capacité à s’en protéger. Elle met en évidence l’intérêt d’agir sur les causes structurelles des inégalités plutôt que sur leurs seules conséquences sanitaires. Cette perspective rejoint l’idée, déjà évoquée, que la santé ne peut être pensée uniquement à travers le système de soins et qu’elle suppose une mobilisation coordonnée de politiques publiques relevant de plusieurs secteurs. Elle éclaire </w:t>
      </w:r>
      <w:r w:rsidRPr="009123EF">
        <w:lastRenderedPageBreak/>
        <w:t>également le passage progressif d’une logique de démocratie sanitaire vers une démocratie en santé, plus large et plus transversale.</w:t>
      </w:r>
    </w:p>
    <w:p w14:paraId="767016A6" w14:textId="77777777" w:rsidR="00E5205A" w:rsidRPr="009123EF" w:rsidRDefault="00E5205A" w:rsidP="009123EF">
      <w:pPr>
        <w:pStyle w:val="NormalWeb"/>
        <w:spacing w:line="276" w:lineRule="auto"/>
        <w:jc w:val="both"/>
      </w:pPr>
      <w:r w:rsidRPr="009123EF">
        <w:t>Dans cette continuité, la théorie des origines développementales de la santé et des maladies (DOHaD), formulée par David Barker et largement diffusée en France notamment par les travaux de Boris Cyrulnik, souligne l’importance des conditions de vie précoces, en particulier durant les 1 000 premiers jours. Elle montre que les contextes sociaux, environnementaux et relationnels de la petite enfance influencent durablement les trajectoires de santé. Cette approche met en lumière l’intérêt d’actions précoces et anticipatrices, et rappelle que les politiques locales, lorsqu’elles s’inscrivent dans le temps long, peuvent jouer un rôle déterminant dans la prévention des inégalités futures.</w:t>
      </w:r>
    </w:p>
    <w:p w14:paraId="4521C508" w14:textId="77777777" w:rsidR="00E5205A" w:rsidRPr="009123EF" w:rsidRDefault="00E5205A" w:rsidP="009123EF">
      <w:pPr>
        <w:pStyle w:val="NormalWeb"/>
        <w:spacing w:line="276" w:lineRule="auto"/>
        <w:jc w:val="both"/>
      </w:pPr>
      <w:r w:rsidRPr="009123EF">
        <w:t>Enfin, comme évoqué précédemment, la pensée complexe développée par Edgar Morin offre un cadre de lecture pertinent pour appréhender les enjeux territoriaux de santé. Elle invite à considérer les interactions entre dimensions sociales, économiques, environnementales, institutionnelles et sanitaires, plutôt que de les traiter séparément. Cette approche permet de comprendre pourquoi les enjeux de santé appellent des espaces de dialogue capables de croiser les regards et d’articuler des acteurs issus de champs différents, même si cette ambition se heurte, dans la pratique, à des niveaux variables de mobilisation et d’implication selon les territoires.</w:t>
      </w:r>
    </w:p>
    <w:p w14:paraId="3B909EF2" w14:textId="4D6F8A9A" w:rsidR="00E5205A" w:rsidRPr="009123EF" w:rsidRDefault="00E5205A" w:rsidP="009123EF">
      <w:pPr>
        <w:pStyle w:val="NormalWeb"/>
        <w:spacing w:line="276" w:lineRule="auto"/>
        <w:jc w:val="both"/>
      </w:pPr>
      <w:r w:rsidRPr="009123EF">
        <w:t xml:space="preserve">Pris ensemble, ces repères théoriques permettent de mieux comprendre les tensions qui traversent aujourd’hui l’action territoriale en santé. Ils éclairent à la fois les ambitions portées par les CTS, les évolutions vers une démocratie en santé plus transversale, et les décalages possibles entre cadres </w:t>
      </w:r>
      <w:r w:rsidR="00AF1D9D">
        <w:t>légaux</w:t>
      </w:r>
      <w:r w:rsidRPr="009123EF">
        <w:t>, attentes institutionnelles et réalités locales. En ce sens, ils ne définissent pas un modèle unique du CTS, mais offrent des clés de lecture pour analyser ses pratiques, ses limites et ses potentialités dans des contextes territoriaux différenciés.</w:t>
      </w:r>
    </w:p>
    <w:p w14:paraId="41C54E3B" w14:textId="77777777" w:rsidR="00BC607E" w:rsidRPr="009123EF" w:rsidRDefault="00BC607E" w:rsidP="009123EF">
      <w:pPr>
        <w:pStyle w:val="NormalWeb"/>
        <w:spacing w:line="276" w:lineRule="auto"/>
        <w:jc w:val="both"/>
      </w:pPr>
    </w:p>
    <w:p w14:paraId="1102D245" w14:textId="72DB2A0C" w:rsidR="00FD4CBF" w:rsidRPr="009123EF" w:rsidRDefault="00FD4CBF" w:rsidP="00FD4509">
      <w:pPr>
        <w:pStyle w:val="Titre2"/>
      </w:pPr>
      <w:r w:rsidRPr="009123EF">
        <w:t>Le</w:t>
      </w:r>
      <w:r w:rsidR="00EA2C21" w:rsidRPr="009123EF">
        <w:t xml:space="preserve">s dynamiques territoriales du Val </w:t>
      </w:r>
      <w:r w:rsidR="007B41F2">
        <w:t xml:space="preserve">- </w:t>
      </w:r>
      <w:r w:rsidR="00EA2C21" w:rsidRPr="009123EF">
        <w:t xml:space="preserve">de </w:t>
      </w:r>
      <w:r w:rsidR="007B41F2">
        <w:t xml:space="preserve">- </w:t>
      </w:r>
      <w:r w:rsidR="00EA2C21" w:rsidRPr="009123EF">
        <w:t>Marne</w:t>
      </w:r>
    </w:p>
    <w:p w14:paraId="785CC7B0" w14:textId="77777777" w:rsidR="00212B73" w:rsidRPr="009123EF" w:rsidRDefault="00212B73" w:rsidP="009123EF">
      <w:pPr>
        <w:pStyle w:val="NormalWeb"/>
        <w:spacing w:line="276" w:lineRule="auto"/>
        <w:jc w:val="both"/>
      </w:pPr>
      <w:r w:rsidRPr="009123EF">
        <w:t>L’analyse des inégalités sociales et territoriales de santé prend tout son sens lorsqu’elle est appliquée à un territoire concret. Le Val-de-Marne constitue à cet égard un terrain d’observation particulièrement éclairant. Bien que les indicateurs de santé y soient globalement meilleurs que la moyenne nationale, le département concentre des écarts sociaux et territoriaux marqués, invitant à interroger les échelles pertinentes de l’action publique et la place du CTS dans une stratégie de réduction des inégalités.</w:t>
      </w:r>
    </w:p>
    <w:p w14:paraId="5D51A4D9" w14:textId="6132E3DF" w:rsidR="00212B73" w:rsidRPr="009123EF" w:rsidRDefault="00212B73" w:rsidP="009123EF">
      <w:pPr>
        <w:pStyle w:val="NormalWeb"/>
        <w:spacing w:line="276" w:lineRule="auto"/>
        <w:jc w:val="both"/>
      </w:pPr>
      <w:r w:rsidRPr="009123EF">
        <w:t xml:space="preserve">Le diagnostic territorial du Val-de-Marne met en évidence l’importance de la </w:t>
      </w:r>
      <w:r w:rsidRPr="009123EF">
        <w:rPr>
          <w:rStyle w:val="lev"/>
          <w:rFonts w:eastAsiaTheme="majorEastAsia"/>
          <w:b w:val="0"/>
          <w:bCs w:val="0"/>
        </w:rPr>
        <w:t>maille territoriale</w:t>
      </w:r>
      <w:r w:rsidRPr="009123EF">
        <w:rPr>
          <w:b/>
          <w:bCs/>
        </w:rPr>
        <w:t xml:space="preserve"> </w:t>
      </w:r>
      <w:r w:rsidRPr="009123EF">
        <w:t>dans la conception et la mise en œuvre des politiques publiques de santé. Tous les enjeux ne se traitent pas au même niveau : certains relèvent principalement de cadres nationaux, d’autres de la planification régionale, notamment en matière d’organisation de l’offre de soins. En revanche, dès lors que l’on aborde les déterminants sociaux de la santé et leur articulation avec l’action sociale, l’échelle départementale apparaît particulièrement pertinente. C’est à ce niveau que se croisent les politiques sanitaires, sociales et médico-sociales, et que les réalités de vie des populations peuvent être appréhendées de manière plus fine.</w:t>
      </w:r>
    </w:p>
    <w:p w14:paraId="202E0C94" w14:textId="77777777" w:rsidR="00212B73" w:rsidRPr="009123EF" w:rsidRDefault="00212B73" w:rsidP="009123EF">
      <w:pPr>
        <w:pStyle w:val="NormalWeb"/>
        <w:spacing w:line="276" w:lineRule="auto"/>
        <w:jc w:val="both"/>
      </w:pPr>
      <w:r w:rsidRPr="009123EF">
        <w:lastRenderedPageBreak/>
        <w:t xml:space="preserve">Dans ce cadre, le Val-de-Marne se distingue par une structuration autour de </w:t>
      </w:r>
      <w:r w:rsidRPr="009123EF">
        <w:rPr>
          <w:rStyle w:val="lev"/>
          <w:rFonts w:eastAsiaTheme="majorEastAsia"/>
          <w:b w:val="0"/>
          <w:bCs w:val="0"/>
        </w:rPr>
        <w:t>deux grands territoires de coordination, l’Est et l’Ouest</w:t>
      </w:r>
      <w:r w:rsidRPr="009123EF">
        <w:rPr>
          <w:b/>
          <w:bCs/>
        </w:rPr>
        <w:t xml:space="preserve">, </w:t>
      </w:r>
      <w:r w:rsidRPr="009123EF">
        <w:t>qui concentrent des dynamiques sociales et démographiques contrastées. Le territoire Ouest, très urbanisé, accueille une population plus jeune mais plus exposée à la précarité sociale et économique. Il se caractérise par une forte densité, un parc de logements souvent ancien et une concentration de ménages modestes. Ces facteurs se conjuguent à des tensions sur l’accès à certaines spécialités médicales, contribuant à un cumul de déterminants défavorables susceptibles d’affecter l’état de santé des habitants.</w:t>
      </w:r>
    </w:p>
    <w:p w14:paraId="21A55D76" w14:textId="77777777" w:rsidR="00212B73" w:rsidRDefault="00212B73" w:rsidP="009123EF">
      <w:pPr>
        <w:pStyle w:val="NormalWeb"/>
        <w:spacing w:line="276" w:lineRule="auto"/>
        <w:jc w:val="both"/>
      </w:pPr>
      <w:r w:rsidRPr="009123EF">
        <w:t>À l’inverse, le territoire Est présente une situation sociale globalement plus stable, mais il est marqué par un vieillissement plus prononcé de la population. Les enjeux de santé y sont donc différents : prévention de la perte d’autonomie, accompagnement du grand âge, coordination médico-sociale et prise en charge des maladies chroniques. Ces dynamiques montrent que des politiques publiques uniformes ne peuvent produire les mêmes effets sur l’ensemble du département, et que les réponses doivent être adaptées aux contextes territoriaux.</w:t>
      </w:r>
    </w:p>
    <w:p w14:paraId="5FFF4D95" w14:textId="1AE2F087" w:rsidR="00212B73" w:rsidRPr="009123EF" w:rsidRDefault="001E426D" w:rsidP="009123EF">
      <w:pPr>
        <w:pStyle w:val="NormalWeb"/>
        <w:spacing w:line="276" w:lineRule="auto"/>
        <w:jc w:val="both"/>
      </w:pPr>
      <w:r w:rsidRPr="001E426D">
        <w:t>Si les inégalités sociales et territoriales de santé sont souvent analysées à l’échelle départementale, elles se manifestent en réalité à des niveaux plus fins, notamment à l’échelle communale, voire infra-communale. Dans le Val-de-Marne, cette différenciation apparaît nettement au sein même des territoires de coordination Est et Ouest, où les situations sociales et sanitaires sont loin d’être homogènes.</w:t>
      </w:r>
      <w:r>
        <w:t xml:space="preserve"> </w:t>
      </w:r>
      <w:r w:rsidR="00212B73" w:rsidRPr="009123EF">
        <w:t xml:space="preserve">Le Val-de-Marne compte </w:t>
      </w:r>
      <w:r w:rsidR="00212B73" w:rsidRPr="009123EF">
        <w:rPr>
          <w:rStyle w:val="lev"/>
          <w:rFonts w:eastAsiaTheme="majorEastAsia"/>
          <w:b w:val="0"/>
          <w:bCs w:val="0"/>
        </w:rPr>
        <w:t>44 quartiers prioritaires de la politique de la ville</w:t>
      </w:r>
      <w:r w:rsidR="00212B73" w:rsidRPr="009123EF">
        <w:rPr>
          <w:b/>
          <w:bCs/>
        </w:rPr>
        <w:t xml:space="preserve">, </w:t>
      </w:r>
      <w:r w:rsidR="00212B73" w:rsidRPr="009123EF">
        <w:t xml:space="preserve">où se concentrent des formes cumulées de précarité sociale et économique. Ces quartiers illustrent de manière particulièrement visible le processus par lequel des inégalités sociales se traduisent spatialement, puis produisent des inégalités de santé durables. </w:t>
      </w:r>
      <w:r w:rsidR="00170A6A" w:rsidRPr="00BC2CDF">
        <w:t xml:space="preserve">Pour autant, la précarité sociale ne se limite pas à ces périmètres : une part importante des populations les plus défavorisées réside en dehors des quartiers prioritaires, </w:t>
      </w:r>
      <w:r w:rsidR="00170A6A" w:rsidRPr="00170A6A">
        <w:t xml:space="preserve">ce qui invite à ne pas restreindre l’analyse </w:t>
      </w:r>
      <w:r w:rsidR="00BC2CDF">
        <w:t xml:space="preserve">et l’action publique </w:t>
      </w:r>
      <w:r w:rsidR="00170A6A" w:rsidRPr="00170A6A">
        <w:t>à ces seuls espaces.</w:t>
      </w:r>
      <w:r w:rsidR="00170A6A">
        <w:t xml:space="preserve"> </w:t>
      </w:r>
      <w:r w:rsidR="00212B73" w:rsidRPr="009123EF">
        <w:t>Ils rappellent que l’analyse communale, voire infra-communale, reste indispensable pour comprendre les réalités vécues par les populations.</w:t>
      </w:r>
    </w:p>
    <w:p w14:paraId="60504589" w14:textId="77777777" w:rsidR="00212B73" w:rsidRPr="009123EF" w:rsidRDefault="00212B73" w:rsidP="009123EF">
      <w:pPr>
        <w:pStyle w:val="NormalWeb"/>
        <w:spacing w:line="276" w:lineRule="auto"/>
        <w:jc w:val="both"/>
      </w:pPr>
      <w:r w:rsidRPr="009123EF">
        <w:t>Dans ce contexte, le rôle du CTS consiste à articuler ces dynamiques contrastées, à distinguer les besoins spécifiques de chaque territoire et à identifier les leviers pouvant faire l’objet d’actions partagées. En s’appuyant sur une lecture territoriale fine, le CTS contribue à faire remonter à l’ARS des analyses et des propositions adaptées aux réalités locales, en cohérence avec les orientations régionales.</w:t>
      </w:r>
    </w:p>
    <w:p w14:paraId="3EA30F8E" w14:textId="34E1FFD5" w:rsidR="00561DBD" w:rsidRDefault="00212B73" w:rsidP="00C64C3F">
      <w:pPr>
        <w:pStyle w:val="NormalWeb"/>
        <w:spacing w:line="276" w:lineRule="auto"/>
        <w:jc w:val="both"/>
      </w:pPr>
      <w:r w:rsidRPr="009123EF">
        <w:t>L’analyse territoriale devient ainsi un outil structurant de la démocratie en santé. Elle permet de dépasser une approche uniquement descriptive pour transformer les écarts observés en leviers d’action collective, et d’inscrire les politiques publiques locales de santé dans une compréhension partagée des besoins et des vulnérabilités du territoire. À ce titre, le Val-de-Marne peut être considéré comme un territoire d’observation privilégié pour appréhender la production des inégalités sociales et territoriales de santé et pour illustrer l’intérêt d’une approche territorialisée, intersectorielle et participative portée par le CTS.</w:t>
      </w:r>
    </w:p>
    <w:p w14:paraId="14B68A40" w14:textId="77777777" w:rsidR="006E0F8E" w:rsidRPr="009123EF" w:rsidRDefault="006E0F8E" w:rsidP="00C64C3F">
      <w:pPr>
        <w:pStyle w:val="NormalWeb"/>
        <w:spacing w:line="276" w:lineRule="auto"/>
        <w:jc w:val="both"/>
      </w:pPr>
    </w:p>
    <w:p w14:paraId="4E250EDA" w14:textId="74D44AF9" w:rsidR="000A13A7" w:rsidRDefault="000A13A7" w:rsidP="00FD4509">
      <w:pPr>
        <w:pStyle w:val="abstractetconclu"/>
      </w:pPr>
      <w:r w:rsidRPr="007345CE">
        <w:lastRenderedPageBreak/>
        <w:t>CONCLUSION</w:t>
      </w:r>
    </w:p>
    <w:p w14:paraId="3D06B6E1" w14:textId="77777777" w:rsidR="00A162DE" w:rsidRPr="009123EF" w:rsidRDefault="00A162DE" w:rsidP="00C27B4C">
      <w:pPr>
        <w:pStyle w:val="Stylegrandtitres"/>
        <w:numPr>
          <w:ilvl w:val="0"/>
          <w:numId w:val="0"/>
        </w:numPr>
        <w:ind w:left="1080"/>
      </w:pPr>
    </w:p>
    <w:p w14:paraId="5155DD4F" w14:textId="77777777" w:rsidR="00331402" w:rsidRPr="00331402" w:rsidRDefault="00331402" w:rsidP="009123EF">
      <w:pPr>
        <w:spacing w:line="276" w:lineRule="auto"/>
        <w:jc w:val="both"/>
        <w:rPr>
          <w:rFonts w:ascii="Times New Roman" w:hAnsi="Times New Roman" w:cs="Times New Roman"/>
        </w:rPr>
      </w:pPr>
      <w:r w:rsidRPr="00331402">
        <w:rPr>
          <w:rFonts w:ascii="Times New Roman" w:hAnsi="Times New Roman" w:cs="Times New Roman"/>
        </w:rPr>
        <w:t>Ce document a permis de poser progressivement les éléments nécessaires à la compréhension du rôle du CTS dans la gouvernance territoriale de la santé.</w:t>
      </w:r>
      <w:r w:rsidRPr="00331402">
        <w:rPr>
          <w:rFonts w:ascii="Times New Roman" w:hAnsi="Times New Roman" w:cs="Times New Roman"/>
        </w:rPr>
        <w:br/>
        <w:t>La première partie a rappelé les fondements de la santé publique, en montrant que la santé ne se réduit pas au soin mais résulte d’un ensemble de déterminants sociaux, environnementaux et territoriaux. Cette approche met en évidence les enjeux contemporains de santé publique et la nécessité de penser l’action dans une logique transversale.</w:t>
      </w:r>
    </w:p>
    <w:p w14:paraId="6617F890" w14:textId="77777777" w:rsidR="00331402" w:rsidRPr="00331402" w:rsidRDefault="00331402" w:rsidP="009123EF">
      <w:pPr>
        <w:spacing w:line="276" w:lineRule="auto"/>
        <w:jc w:val="both"/>
        <w:rPr>
          <w:rFonts w:ascii="Times New Roman" w:hAnsi="Times New Roman" w:cs="Times New Roman"/>
        </w:rPr>
      </w:pPr>
      <w:r w:rsidRPr="00331402">
        <w:rPr>
          <w:rFonts w:ascii="Times New Roman" w:hAnsi="Times New Roman" w:cs="Times New Roman"/>
        </w:rPr>
        <w:t>La deuxième partie a situé le CTS dans son cadre institutionnel, en revenant sur ses missions, ses principes et son inscription dans les politiques publiques régionales. Elle a montré que le CTS s’inscrit aujourd’hui dans une dynamique de démocratie en santé, qui dépasse la seule démocratie sanitaire prévue lors de son institution en 2016, et qui appelle une participation élargie des acteurs concernés par les déterminants de la santé.</w:t>
      </w:r>
    </w:p>
    <w:p w14:paraId="40A7967C" w14:textId="77777777" w:rsidR="00331402" w:rsidRPr="00331402" w:rsidRDefault="00331402" w:rsidP="009123EF">
      <w:pPr>
        <w:spacing w:line="276" w:lineRule="auto"/>
        <w:jc w:val="both"/>
        <w:rPr>
          <w:rFonts w:ascii="Times New Roman" w:hAnsi="Times New Roman" w:cs="Times New Roman"/>
        </w:rPr>
      </w:pPr>
      <w:r w:rsidRPr="00331402">
        <w:rPr>
          <w:rFonts w:ascii="Times New Roman" w:hAnsi="Times New Roman" w:cs="Times New Roman"/>
        </w:rPr>
        <w:t>La troisième partie a enfin éclairé les mécanismes des inégalités sociales et territoriales de santé et leur manifestation concrète dans le Val-de-Marne. Elle a montré que la réduction de ces inégalités constitue une finalité centrale des politiques publiques de santé, et que leur compréhension suppose une lecture fine des dynamiques sociales et territoriales.</w:t>
      </w:r>
    </w:p>
    <w:p w14:paraId="7844FBA5" w14:textId="6852BBFF" w:rsidR="00331402" w:rsidRDefault="00331402" w:rsidP="009123EF">
      <w:pPr>
        <w:spacing w:line="276" w:lineRule="auto"/>
        <w:jc w:val="both"/>
        <w:rPr>
          <w:rFonts w:ascii="Times New Roman" w:hAnsi="Times New Roman" w:cs="Times New Roman"/>
        </w:rPr>
      </w:pPr>
      <w:r w:rsidRPr="00331402">
        <w:rPr>
          <w:rFonts w:ascii="Times New Roman" w:hAnsi="Times New Roman" w:cs="Times New Roman"/>
        </w:rPr>
        <w:t>À l’issue de ce raisonnement, le CTS apparaît comme un outil pertinent pou</w:t>
      </w:r>
      <w:r w:rsidR="00FA3D7F">
        <w:rPr>
          <w:rFonts w:ascii="Times New Roman" w:hAnsi="Times New Roman" w:cs="Times New Roman"/>
        </w:rPr>
        <w:t>vant</w:t>
      </w:r>
      <w:r w:rsidRPr="00331402">
        <w:rPr>
          <w:rFonts w:ascii="Times New Roman" w:hAnsi="Times New Roman" w:cs="Times New Roman"/>
        </w:rPr>
        <w:t xml:space="preserve"> articuler ces différents niveaux d’analyse. En tant qu’espace de concertation territoriale, il peut contribuer à éclairer les politiques publiques locales de santé à partir des réalités du terrain et à inscrire l’action publique dans une logique de démocratie en santé. À ce titre, le CTS</w:t>
      </w:r>
      <w:r w:rsidR="00513FF2">
        <w:rPr>
          <w:rFonts w:ascii="Times New Roman" w:hAnsi="Times New Roman" w:cs="Times New Roman"/>
        </w:rPr>
        <w:t xml:space="preserve"> peut</w:t>
      </w:r>
      <w:r w:rsidRPr="00331402">
        <w:rPr>
          <w:rFonts w:ascii="Times New Roman" w:hAnsi="Times New Roman" w:cs="Times New Roman"/>
        </w:rPr>
        <w:t xml:space="preserve"> dépasse</w:t>
      </w:r>
      <w:r w:rsidR="00513FF2">
        <w:rPr>
          <w:rFonts w:ascii="Times New Roman" w:hAnsi="Times New Roman" w:cs="Times New Roman"/>
        </w:rPr>
        <w:t>r</w:t>
      </w:r>
      <w:r w:rsidRPr="00331402">
        <w:rPr>
          <w:rFonts w:ascii="Times New Roman" w:hAnsi="Times New Roman" w:cs="Times New Roman"/>
        </w:rPr>
        <w:t xml:space="preserve"> le cadre strictement sanitaire pour devenir un levier potentiel de cohérence, de transversalité et de réduction des inégalités sociales et territoriales de santé.</w:t>
      </w:r>
      <w:r w:rsidR="00E53F4B">
        <w:rPr>
          <w:rFonts w:ascii="Times New Roman" w:hAnsi="Times New Roman" w:cs="Times New Roman"/>
        </w:rPr>
        <w:t xml:space="preserve"> </w:t>
      </w:r>
    </w:p>
    <w:p w14:paraId="7B37E988" w14:textId="10E845B3" w:rsidR="004A24C5" w:rsidRDefault="0060678D" w:rsidP="009123EF">
      <w:pPr>
        <w:spacing w:line="276" w:lineRule="auto"/>
        <w:jc w:val="both"/>
        <w:rPr>
          <w:rFonts w:ascii="Times New Roman" w:hAnsi="Times New Roman" w:cs="Times New Roman"/>
        </w:rPr>
      </w:pPr>
      <w:r w:rsidRPr="0060678D">
        <w:rPr>
          <w:rFonts w:ascii="Times New Roman" w:hAnsi="Times New Roman" w:cs="Times New Roman"/>
        </w:rPr>
        <w:t xml:space="preserve">Il demeure néanmoins un outil dont la portée et le potentiel </w:t>
      </w:r>
      <w:r w:rsidR="00E26146" w:rsidRPr="00E26146">
        <w:rPr>
          <w:rFonts w:ascii="Times New Roman" w:hAnsi="Times New Roman" w:cs="Times New Roman"/>
        </w:rPr>
        <w:t>sont conditionnés par</w:t>
      </w:r>
      <w:r w:rsidR="00E26146">
        <w:rPr>
          <w:rFonts w:ascii="Times New Roman" w:hAnsi="Times New Roman" w:cs="Times New Roman"/>
        </w:rPr>
        <w:t xml:space="preserve"> </w:t>
      </w:r>
      <w:r w:rsidRPr="0060678D">
        <w:rPr>
          <w:rFonts w:ascii="Times New Roman" w:hAnsi="Times New Roman" w:cs="Times New Roman"/>
        </w:rPr>
        <w:t>l’implication des acteurs qui s’en saisissent.</w:t>
      </w:r>
      <w:r>
        <w:rPr>
          <w:rFonts w:ascii="Times New Roman" w:hAnsi="Times New Roman" w:cs="Times New Roman"/>
        </w:rPr>
        <w:t xml:space="preserve"> </w:t>
      </w:r>
    </w:p>
    <w:p w14:paraId="5A81A3FF" w14:textId="77777777" w:rsidR="0092722C" w:rsidRDefault="0092722C" w:rsidP="009123EF">
      <w:pPr>
        <w:spacing w:line="276" w:lineRule="auto"/>
        <w:jc w:val="both"/>
        <w:rPr>
          <w:rFonts w:ascii="Times New Roman" w:hAnsi="Times New Roman" w:cs="Times New Roman"/>
        </w:rPr>
      </w:pPr>
    </w:p>
    <w:p w14:paraId="759E88CC" w14:textId="77777777" w:rsidR="0092722C" w:rsidRDefault="0092722C" w:rsidP="009123EF">
      <w:pPr>
        <w:spacing w:line="276" w:lineRule="auto"/>
        <w:jc w:val="both"/>
        <w:rPr>
          <w:rFonts w:ascii="Times New Roman" w:hAnsi="Times New Roman" w:cs="Times New Roman"/>
        </w:rPr>
      </w:pPr>
    </w:p>
    <w:p w14:paraId="4B013D43" w14:textId="77777777" w:rsidR="0092722C" w:rsidRDefault="0092722C" w:rsidP="009123EF">
      <w:pPr>
        <w:spacing w:line="276" w:lineRule="auto"/>
        <w:jc w:val="both"/>
        <w:rPr>
          <w:rFonts w:ascii="Times New Roman" w:hAnsi="Times New Roman" w:cs="Times New Roman"/>
        </w:rPr>
      </w:pPr>
    </w:p>
    <w:p w14:paraId="281C1C72" w14:textId="77777777" w:rsidR="0092722C" w:rsidRDefault="0092722C" w:rsidP="009123EF">
      <w:pPr>
        <w:spacing w:line="276" w:lineRule="auto"/>
        <w:jc w:val="both"/>
        <w:rPr>
          <w:rFonts w:ascii="Times New Roman" w:hAnsi="Times New Roman" w:cs="Times New Roman"/>
        </w:rPr>
      </w:pPr>
    </w:p>
    <w:p w14:paraId="083FC906" w14:textId="77777777" w:rsidR="0092722C" w:rsidRDefault="0092722C" w:rsidP="009123EF">
      <w:pPr>
        <w:spacing w:line="276" w:lineRule="auto"/>
        <w:jc w:val="both"/>
        <w:rPr>
          <w:rFonts w:ascii="Times New Roman" w:hAnsi="Times New Roman" w:cs="Times New Roman"/>
        </w:rPr>
      </w:pPr>
    </w:p>
    <w:p w14:paraId="7BB98B09" w14:textId="77777777" w:rsidR="0092722C" w:rsidRDefault="0092722C" w:rsidP="009123EF">
      <w:pPr>
        <w:spacing w:line="276" w:lineRule="auto"/>
        <w:jc w:val="both"/>
        <w:rPr>
          <w:rFonts w:ascii="Times New Roman" w:hAnsi="Times New Roman" w:cs="Times New Roman"/>
        </w:rPr>
      </w:pPr>
    </w:p>
    <w:p w14:paraId="674B3AF2" w14:textId="77777777" w:rsidR="0092722C" w:rsidRDefault="0092722C" w:rsidP="009123EF">
      <w:pPr>
        <w:spacing w:line="276" w:lineRule="auto"/>
        <w:jc w:val="both"/>
        <w:rPr>
          <w:rFonts w:ascii="Times New Roman" w:hAnsi="Times New Roman" w:cs="Times New Roman"/>
        </w:rPr>
      </w:pPr>
    </w:p>
    <w:p w14:paraId="30F2681F" w14:textId="77777777" w:rsidR="0092722C" w:rsidRDefault="0092722C" w:rsidP="009123EF">
      <w:pPr>
        <w:spacing w:line="276" w:lineRule="auto"/>
        <w:jc w:val="both"/>
        <w:rPr>
          <w:rFonts w:ascii="Times New Roman" w:hAnsi="Times New Roman" w:cs="Times New Roman"/>
        </w:rPr>
      </w:pPr>
    </w:p>
    <w:p w14:paraId="052DEFF5" w14:textId="77777777" w:rsidR="0092722C" w:rsidRDefault="0092722C" w:rsidP="009123EF">
      <w:pPr>
        <w:spacing w:line="276" w:lineRule="auto"/>
        <w:jc w:val="both"/>
        <w:rPr>
          <w:rFonts w:ascii="Times New Roman" w:hAnsi="Times New Roman" w:cs="Times New Roman"/>
        </w:rPr>
      </w:pPr>
    </w:p>
    <w:p w14:paraId="2018696A" w14:textId="77777777" w:rsidR="0092722C" w:rsidRDefault="0092722C" w:rsidP="009123EF">
      <w:pPr>
        <w:spacing w:line="276" w:lineRule="auto"/>
        <w:jc w:val="both"/>
        <w:rPr>
          <w:rFonts w:ascii="Times New Roman" w:hAnsi="Times New Roman" w:cs="Times New Roman"/>
        </w:rPr>
      </w:pPr>
    </w:p>
    <w:p w14:paraId="4C050580" w14:textId="77777777" w:rsidR="0092722C" w:rsidRDefault="0092722C" w:rsidP="009123EF">
      <w:pPr>
        <w:spacing w:line="276" w:lineRule="auto"/>
        <w:jc w:val="both"/>
        <w:rPr>
          <w:rFonts w:ascii="Times New Roman" w:hAnsi="Times New Roman" w:cs="Times New Roman"/>
        </w:rPr>
      </w:pPr>
    </w:p>
    <w:p w14:paraId="56E14B68" w14:textId="73B85E83" w:rsidR="009E22C1" w:rsidRPr="009E22C1" w:rsidRDefault="009E22C1" w:rsidP="009E22C1">
      <w:pPr>
        <w:pStyle w:val="abstractetconclu"/>
      </w:pPr>
      <w:r>
        <w:lastRenderedPageBreak/>
        <w:t xml:space="preserve">SYNTHESE </w:t>
      </w:r>
    </w:p>
    <w:p w14:paraId="64C511B9" w14:textId="4A591757" w:rsidR="009E22C1" w:rsidRDefault="009E22C1" w:rsidP="009E22C1">
      <w:pPr>
        <w:pStyle w:val="NormalWeb"/>
        <w:spacing w:line="276" w:lineRule="auto"/>
        <w:jc w:val="both"/>
      </w:pPr>
      <w:r>
        <w:t>Ce document s’inscrit dans une réflexion appuyée sur des travaux issus de la santé publique et des sciences sociales, mobilisant des références scientifiques et institutionnelles afin d’éclairer les enjeux contemporains de santé à l’échelle territoriale. Il propose une lecture structurée du rôle que peut occuper le Conseil Territorial de Santé (CTS) dans la conception et l’orientation des politiques publiques locales, en lien avec les réalités observées sur les territoires.</w:t>
      </w:r>
    </w:p>
    <w:p w14:paraId="7745DCBE" w14:textId="77777777" w:rsidR="009E22C1" w:rsidRDefault="009E22C1" w:rsidP="009E22C1">
      <w:pPr>
        <w:pStyle w:val="NormalWeb"/>
        <w:spacing w:line="276" w:lineRule="auto"/>
        <w:jc w:val="both"/>
      </w:pPr>
      <w:r>
        <w:t>L’analyse repose sur une conception élargie de la santé, entendue comme un état de bien-être global, influencé par une pluralité de facteurs. Les travaux en santé publique montrent que l’état de santé d’une population dépend en grande partie de déterminants extérieurs au système de soins, tels que les conditions de vie, les environnements sociaux et économiques, ainsi que les comportements individuels. La santé apparaît ainsi comme le produit d’interactions multiples entre les individus et leurs contextes de vie, ce qui conduit à envisager l’action publique dans une perspective transversale, au-delà du seul champ sanitaire.</w:t>
      </w:r>
    </w:p>
    <w:p w14:paraId="4E324C80" w14:textId="77777777" w:rsidR="009E22C1" w:rsidRDefault="009E22C1" w:rsidP="009E22C1">
      <w:pPr>
        <w:pStyle w:val="NormalWeb"/>
        <w:spacing w:line="276" w:lineRule="auto"/>
        <w:jc w:val="both"/>
      </w:pPr>
      <w:r>
        <w:t>Dans ce cadre, l’analyse des déterminants de santé met en évidence l’existence d’inégalités qui s’inscrivent dans un gradient social. Les différences d’état de santé entre populations sont étroitement liées aux conditions sociales, économiques et culturelles, qui influencent durablement les trajectoires de vie. Ces dynamiques s’articulent à des logiques territoriales : les contextes locaux, en termes d’accès aux ressources, d’environnement ou d’organisation des services, contribuent à structurer des situations différenciées. Les inégalités sociales et territoriales de santé apparaissent ainsi comme le résultat de mécanismes cumulés, ancrés à la fois dans les conditions de vie et dans les territoires.</w:t>
      </w:r>
    </w:p>
    <w:p w14:paraId="7AAD9E7E" w14:textId="77777777" w:rsidR="009E22C1" w:rsidRDefault="009E22C1" w:rsidP="009E22C1">
      <w:pPr>
        <w:pStyle w:val="NormalWeb"/>
        <w:spacing w:line="276" w:lineRule="auto"/>
        <w:jc w:val="both"/>
      </w:pPr>
      <w:r>
        <w:t>Les indicateurs de santé constituent, dans cette perspective, des outils d’analyse permettant d’objectiver ces écarts et de structurer une compréhension partagée des réalités territoriales. Leur intérêt réside dans leur capacité à éclairer des dynamiques locales et à soutenir les échanges entre acteurs, à condition d’être mobilisés avec attention quant à leur interprétation et à l’échelle à laquelle ils sont utilisés.</w:t>
      </w:r>
    </w:p>
    <w:p w14:paraId="71A6395D" w14:textId="77777777" w:rsidR="009E22C1" w:rsidRDefault="009E22C1" w:rsidP="009E22C1">
      <w:pPr>
        <w:pStyle w:val="NormalWeb"/>
        <w:spacing w:line="276" w:lineRule="auto"/>
        <w:jc w:val="both"/>
      </w:pPr>
      <w:r>
        <w:t>Les politiques publiques de santé s’inscrivent aujourd’hui dans un contexte marqué par des évolutions durables des besoins : vieillissement de la population, progression des maladies chroniques, enjeux de santé mentale, d’accès aux soins, de périnatalité, de handicap ou encore de santé environnementale. Ces transformations traduisent une complexification des situations et renforcent la nécessité d’approches coordonnées, transversales et adaptées aux spécificités territoriales. Elles soulignent également l’importance des modalités de gouvernance et des espaces de concertation dans la définition et la mise en œuvre des actions.</w:t>
      </w:r>
    </w:p>
    <w:p w14:paraId="10F38CB7" w14:textId="77777777" w:rsidR="009E22C1" w:rsidRDefault="009E22C1" w:rsidP="009E22C1">
      <w:pPr>
        <w:pStyle w:val="NormalWeb"/>
        <w:spacing w:line="276" w:lineRule="auto"/>
        <w:jc w:val="both"/>
      </w:pPr>
      <w:r>
        <w:t>Dans ce contexte, le Conseil Territorial de Santé, institué par la loi de 2016, s’inscrit dans une volonté de territorialisation de la gouvernance sanitaire et de renforcement de la participation des acteurs. Instance consultative rattachée à l’Agence Régionale de Santé, il contribue au diagnostic territorial, favorise la coordination entre acteurs, organise l’expression des usagers et participe à l’élaboration des orientations en matière de santé.</w:t>
      </w:r>
    </w:p>
    <w:p w14:paraId="6A69F98E" w14:textId="77777777" w:rsidR="009E22C1" w:rsidRDefault="009E22C1" w:rsidP="009E22C1">
      <w:pPr>
        <w:pStyle w:val="NormalWeb"/>
        <w:spacing w:line="276" w:lineRule="auto"/>
        <w:jc w:val="both"/>
      </w:pPr>
      <w:r>
        <w:t xml:space="preserve">Au-delà de ses missions formelles, le CTS peut être compris comme un espace de mise en discussion collective, permettant de croiser les expertises et d’ancrer l’analyse des besoins dans les réalités vécues par </w:t>
      </w:r>
      <w:r>
        <w:lastRenderedPageBreak/>
        <w:t>les populations. Il s’inscrit dans une dynamique de démocratie en santé, qui élargit la participation au-delà du système de soins et intègre l’ensemble des déterminants sociaux, économiques et environnementaux de la santé. Dans cette perspective, il contribue à faire émerger une lecture territorialisée des enjeux et à nourrir l’action publique à partir des constats issus du terrain.</w:t>
      </w:r>
    </w:p>
    <w:p w14:paraId="7E97BBD0" w14:textId="77777777" w:rsidR="009E22C1" w:rsidRDefault="009E22C1" w:rsidP="009E22C1">
      <w:pPr>
        <w:pStyle w:val="NormalWeb"/>
        <w:spacing w:line="276" w:lineRule="auto"/>
        <w:jc w:val="both"/>
      </w:pPr>
      <w:r>
        <w:t>Son articulation avec les cadres régionaux, notamment le Projet Régional de Santé, permet d’inscrire les travaux du CTS dans une cohérence d’ensemble, en lien avec les orientations stratégiques définies à l’échelle régionale. Le CTS participe ainsi à une dynamique de dialogue entre niveaux de gouvernance, en mettant en relation les priorités institutionnelles et les spécificités locales.</w:t>
      </w:r>
    </w:p>
    <w:p w14:paraId="1E0D04BD" w14:textId="77777777" w:rsidR="009E22C1" w:rsidRDefault="009E22C1" w:rsidP="009E22C1">
      <w:pPr>
        <w:pStyle w:val="NormalWeb"/>
        <w:spacing w:line="276" w:lineRule="auto"/>
        <w:jc w:val="both"/>
      </w:pPr>
      <w:r>
        <w:t>La prise en compte des inégalités sociales et territoriales de santé constitue un axe structurant de cette réflexion. Les travaux mobilisés montrent que ces inégalités s’inscrivent dans des logiques de long terme, liées à la répartition des ressources, aux conditions de vie et aux environnements. Leur analyse permet d’identifier des leviers d’action et de situer les politiques publiques dans une perspective globale, attentive aux causes structurelles des écarts observés.</w:t>
      </w:r>
    </w:p>
    <w:p w14:paraId="747B88F8" w14:textId="77777777" w:rsidR="009E22C1" w:rsidRDefault="009E22C1" w:rsidP="009E22C1">
      <w:pPr>
        <w:pStyle w:val="NormalWeb"/>
        <w:spacing w:line="276" w:lineRule="auto"/>
        <w:jc w:val="both"/>
      </w:pPr>
      <w:r>
        <w:t>L’observation des dynamiques territoriales, notamment à l’échelle du Val-de-Marne, illustre concrètement ces mécanismes. Le territoire présente des situations contrastées, liées à des différences de conditions sociales, de démographie et d’accès aux ressources. Ces écarts soulignent l’importance d’une lecture fine des territoires et la nécessité d’adapter les réponses publiques aux contextes locaux. Ils mettent également en évidence l’intérêt d’une instance capable d’articuler ces réalités et de contribuer à une compréhension partagée des enjeux.</w:t>
      </w:r>
    </w:p>
    <w:p w14:paraId="424288C8" w14:textId="77777777" w:rsidR="009E22C1" w:rsidRDefault="009E22C1" w:rsidP="009E22C1">
      <w:pPr>
        <w:pStyle w:val="NormalWeb"/>
        <w:spacing w:line="276" w:lineRule="auto"/>
        <w:jc w:val="both"/>
      </w:pPr>
      <w:r>
        <w:t>Dans ce cadre, la portée du Conseil Territorial de Santé s’apprécie également au regard des conditions concrètes dans lesquelles s’exerce la concertation. En tant qu’instance consultative, son rôle repose sur la capacité des acteurs à s’en saisir et sur l’articulation effective de ses travaux avec les processus d’élaboration des politiques publiques. Le CTS peut ainsi constituer un levier de démocratie en santé dès lors que les échanges qu’il permet trouvent une traduction dans les dynamiques d’action et dans les orientations retenues à l’échelle territoriale. Ces éléments soulignent l’importance des modalités de participation, de la mobilisation des acteurs et de la place accordée à cette instance dans les équilibres de gouvernance.</w:t>
      </w:r>
    </w:p>
    <w:p w14:paraId="0D862FB6" w14:textId="77777777" w:rsidR="009E22C1" w:rsidRDefault="009E22C1" w:rsidP="009E22C1">
      <w:pPr>
        <w:pStyle w:val="NormalWeb"/>
        <w:spacing w:line="276" w:lineRule="auto"/>
        <w:jc w:val="both"/>
      </w:pPr>
      <w:r>
        <w:t>Ainsi, le Conseil Territorial de Santé apparaît comme un outil permettant de relier les différents niveaux d’analyse, en articulant connaissance des déterminants de santé, observation des inégalités et concertation territoriale. Il participe à la structuration d’un dialogue entre acteurs et à la construction d’une lecture commune des besoins, contribuant à éclairer l’action publique.</w:t>
      </w:r>
    </w:p>
    <w:p w14:paraId="6FE0FE6E" w14:textId="77777777" w:rsidR="009E22C1" w:rsidRDefault="009E22C1" w:rsidP="009E22C1">
      <w:pPr>
        <w:pStyle w:val="NormalWeb"/>
        <w:spacing w:line="276" w:lineRule="auto"/>
        <w:jc w:val="both"/>
      </w:pPr>
      <w:r>
        <w:t>Il s’inscrit, de ce fait, dans une dynamique visant à renforcer la cohérence des politiques publiques de santé, en intégrant les réalités territoriales et en favorisant une approche globale des enjeux. Son rôle repose sur sa capacité à mobiliser les acteurs, à structurer les échanges et à inscrire les analyses produites dans les processus d’élaboration et d’adaptation des politiques publiques, dans une perspective de réduction des inégalités sociales et territoriales de santé.</w:t>
      </w:r>
    </w:p>
    <w:p w14:paraId="258DAD56" w14:textId="77777777" w:rsidR="009E22C1" w:rsidRDefault="009E22C1" w:rsidP="009E22C1"/>
    <w:p w14:paraId="0DC8A094" w14:textId="77777777" w:rsidR="009E22C1" w:rsidRPr="002E0AE5" w:rsidRDefault="009E22C1" w:rsidP="009123EF">
      <w:pPr>
        <w:spacing w:line="276" w:lineRule="auto"/>
        <w:jc w:val="both"/>
        <w:rPr>
          <w:rFonts w:ascii="Times New Roman" w:hAnsi="Times New Roman" w:cs="Times New Roman"/>
          <w:color w:val="EE0000"/>
        </w:rPr>
      </w:pPr>
    </w:p>
    <w:sectPr w:rsidR="009E22C1" w:rsidRPr="002E0AE5" w:rsidSect="007E7164">
      <w:footerReference w:type="default" r:id="rId9"/>
      <w:pgSz w:w="11906" w:h="16838"/>
      <w:pgMar w:top="1417" w:right="566" w:bottom="141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FF01C" w14:textId="77777777" w:rsidR="00132512" w:rsidRDefault="00132512" w:rsidP="00532123">
      <w:pPr>
        <w:spacing w:after="0" w:line="240" w:lineRule="auto"/>
      </w:pPr>
      <w:r>
        <w:separator/>
      </w:r>
    </w:p>
  </w:endnote>
  <w:endnote w:type="continuationSeparator" w:id="0">
    <w:p w14:paraId="796F83E2" w14:textId="77777777" w:rsidR="00132512" w:rsidRDefault="00132512" w:rsidP="0053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62926"/>
      <w:docPartObj>
        <w:docPartGallery w:val="Page Numbers (Bottom of Page)"/>
        <w:docPartUnique/>
      </w:docPartObj>
    </w:sdtPr>
    <w:sdtEndPr/>
    <w:sdtContent>
      <w:p w14:paraId="5D45AA8F" w14:textId="70804F59" w:rsidR="00532123" w:rsidRDefault="00532123">
        <w:pPr>
          <w:pStyle w:val="Pieddepage"/>
          <w:jc w:val="right"/>
        </w:pPr>
        <w:r>
          <w:fldChar w:fldCharType="begin"/>
        </w:r>
        <w:r>
          <w:instrText>PAGE   \* MERGEFORMAT</w:instrText>
        </w:r>
        <w:r>
          <w:fldChar w:fldCharType="separate"/>
        </w:r>
        <w:r>
          <w:t>2</w:t>
        </w:r>
        <w:r>
          <w:fldChar w:fldCharType="end"/>
        </w:r>
      </w:p>
    </w:sdtContent>
  </w:sdt>
  <w:p w14:paraId="5A75E36B" w14:textId="77777777" w:rsidR="00532123" w:rsidRDefault="005321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49075" w14:textId="77777777" w:rsidR="00132512" w:rsidRDefault="00132512" w:rsidP="00532123">
      <w:pPr>
        <w:spacing w:after="0" w:line="240" w:lineRule="auto"/>
      </w:pPr>
      <w:r>
        <w:separator/>
      </w:r>
    </w:p>
  </w:footnote>
  <w:footnote w:type="continuationSeparator" w:id="0">
    <w:p w14:paraId="14AC9D37" w14:textId="77777777" w:rsidR="00132512" w:rsidRDefault="00132512" w:rsidP="00532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C17"/>
    <w:multiLevelType w:val="multilevel"/>
    <w:tmpl w:val="55D0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978C9"/>
    <w:multiLevelType w:val="hybridMultilevel"/>
    <w:tmpl w:val="373AF78A"/>
    <w:lvl w:ilvl="0" w:tplc="E53A8CF0">
      <w:start w:val="1"/>
      <w:numFmt w:val="upperLetter"/>
      <w:pStyle w:val="Stylepetittitre3"/>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33D5855"/>
    <w:multiLevelType w:val="hybridMultilevel"/>
    <w:tmpl w:val="1C08E01C"/>
    <w:lvl w:ilvl="0" w:tplc="EC341EB0">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EE2C7B"/>
    <w:multiLevelType w:val="hybridMultilevel"/>
    <w:tmpl w:val="2AD22304"/>
    <w:lvl w:ilvl="0" w:tplc="AC129E3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6D3054C"/>
    <w:multiLevelType w:val="multilevel"/>
    <w:tmpl w:val="B9AA4A0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1A27E4"/>
    <w:multiLevelType w:val="hybridMultilevel"/>
    <w:tmpl w:val="9BB27DAE"/>
    <w:lvl w:ilvl="0" w:tplc="190C686A">
      <w:start w:val="1"/>
      <w:numFmt w:val="upperLetter"/>
      <w:pStyle w:val="Stylepetit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75F70BC"/>
    <w:multiLevelType w:val="hybridMultilevel"/>
    <w:tmpl w:val="F808D748"/>
    <w:lvl w:ilvl="0" w:tplc="DACC87A2">
      <w:start w:val="1"/>
      <w:numFmt w:val="upperLetter"/>
      <w:lvlText w:val="%1)"/>
      <w:lvlJc w:val="left"/>
      <w:pPr>
        <w:ind w:left="576" w:hanging="360"/>
      </w:pPr>
      <w:rPr>
        <w:rFonts w:hint="default"/>
      </w:rPr>
    </w:lvl>
    <w:lvl w:ilvl="1" w:tplc="040C0019" w:tentative="1">
      <w:start w:val="1"/>
      <w:numFmt w:val="lowerLetter"/>
      <w:lvlText w:val="%2."/>
      <w:lvlJc w:val="left"/>
      <w:pPr>
        <w:ind w:left="1296" w:hanging="360"/>
      </w:pPr>
    </w:lvl>
    <w:lvl w:ilvl="2" w:tplc="040C001B" w:tentative="1">
      <w:start w:val="1"/>
      <w:numFmt w:val="lowerRoman"/>
      <w:lvlText w:val="%3."/>
      <w:lvlJc w:val="right"/>
      <w:pPr>
        <w:ind w:left="2016" w:hanging="180"/>
      </w:pPr>
    </w:lvl>
    <w:lvl w:ilvl="3" w:tplc="040C000F" w:tentative="1">
      <w:start w:val="1"/>
      <w:numFmt w:val="decimal"/>
      <w:lvlText w:val="%4."/>
      <w:lvlJc w:val="left"/>
      <w:pPr>
        <w:ind w:left="2736" w:hanging="360"/>
      </w:pPr>
    </w:lvl>
    <w:lvl w:ilvl="4" w:tplc="040C0019" w:tentative="1">
      <w:start w:val="1"/>
      <w:numFmt w:val="lowerLetter"/>
      <w:lvlText w:val="%5."/>
      <w:lvlJc w:val="left"/>
      <w:pPr>
        <w:ind w:left="3456" w:hanging="360"/>
      </w:pPr>
    </w:lvl>
    <w:lvl w:ilvl="5" w:tplc="040C001B" w:tentative="1">
      <w:start w:val="1"/>
      <w:numFmt w:val="lowerRoman"/>
      <w:lvlText w:val="%6."/>
      <w:lvlJc w:val="right"/>
      <w:pPr>
        <w:ind w:left="4176" w:hanging="180"/>
      </w:pPr>
    </w:lvl>
    <w:lvl w:ilvl="6" w:tplc="040C000F" w:tentative="1">
      <w:start w:val="1"/>
      <w:numFmt w:val="decimal"/>
      <w:lvlText w:val="%7."/>
      <w:lvlJc w:val="left"/>
      <w:pPr>
        <w:ind w:left="4896" w:hanging="360"/>
      </w:pPr>
    </w:lvl>
    <w:lvl w:ilvl="7" w:tplc="040C0019" w:tentative="1">
      <w:start w:val="1"/>
      <w:numFmt w:val="lowerLetter"/>
      <w:lvlText w:val="%8."/>
      <w:lvlJc w:val="left"/>
      <w:pPr>
        <w:ind w:left="5616" w:hanging="360"/>
      </w:pPr>
    </w:lvl>
    <w:lvl w:ilvl="8" w:tplc="040C001B" w:tentative="1">
      <w:start w:val="1"/>
      <w:numFmt w:val="lowerRoman"/>
      <w:lvlText w:val="%9."/>
      <w:lvlJc w:val="right"/>
      <w:pPr>
        <w:ind w:left="6336" w:hanging="180"/>
      </w:pPr>
    </w:lvl>
  </w:abstractNum>
  <w:abstractNum w:abstractNumId="7" w15:restartNumberingAfterBreak="0">
    <w:nsid w:val="0C380560"/>
    <w:multiLevelType w:val="hybridMultilevel"/>
    <w:tmpl w:val="A44A32E6"/>
    <w:lvl w:ilvl="0" w:tplc="F6F23B98">
      <w:start w:val="2"/>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40F2FE4"/>
    <w:multiLevelType w:val="multilevel"/>
    <w:tmpl w:val="027CAEA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CF25A3"/>
    <w:multiLevelType w:val="hybridMultilevel"/>
    <w:tmpl w:val="985A37F2"/>
    <w:lvl w:ilvl="0" w:tplc="7ABABA0A">
      <w:start w:val="1"/>
      <w:numFmt w:val="upperRoman"/>
      <w:lvlText w:val="%1)"/>
      <w:lvlJc w:val="left"/>
      <w:pPr>
        <w:ind w:left="1080" w:hanging="72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A544D76"/>
    <w:multiLevelType w:val="hybridMultilevel"/>
    <w:tmpl w:val="E17CD452"/>
    <w:lvl w:ilvl="0" w:tplc="AC129E3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F460960"/>
    <w:multiLevelType w:val="hybridMultilevel"/>
    <w:tmpl w:val="50C29426"/>
    <w:lvl w:ilvl="0" w:tplc="0DA82EA8">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219040E2"/>
    <w:multiLevelType w:val="hybridMultilevel"/>
    <w:tmpl w:val="20D29B96"/>
    <w:lvl w:ilvl="0" w:tplc="A17EE85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8E54EC"/>
    <w:multiLevelType w:val="hybridMultilevel"/>
    <w:tmpl w:val="0602BC7C"/>
    <w:lvl w:ilvl="0" w:tplc="04B2A3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695F11"/>
    <w:multiLevelType w:val="hybridMultilevel"/>
    <w:tmpl w:val="E35E3FBE"/>
    <w:lvl w:ilvl="0" w:tplc="AC129E30">
      <w:start w:val="1"/>
      <w:numFmt w:val="upperRoman"/>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95701F4"/>
    <w:multiLevelType w:val="hybridMultilevel"/>
    <w:tmpl w:val="EBAA6A32"/>
    <w:lvl w:ilvl="0" w:tplc="AC129E3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95A0409"/>
    <w:multiLevelType w:val="hybridMultilevel"/>
    <w:tmpl w:val="0220D054"/>
    <w:lvl w:ilvl="0" w:tplc="AE00B890">
      <w:start w:val="5"/>
      <w:numFmt w:val="upperLetter"/>
      <w:lvlText w:val="%1)"/>
      <w:lvlJc w:val="left"/>
      <w:pPr>
        <w:ind w:left="576" w:hanging="360"/>
      </w:pPr>
      <w:rPr>
        <w:rFonts w:hint="default"/>
      </w:rPr>
    </w:lvl>
    <w:lvl w:ilvl="1" w:tplc="040C0019" w:tentative="1">
      <w:start w:val="1"/>
      <w:numFmt w:val="lowerLetter"/>
      <w:lvlText w:val="%2."/>
      <w:lvlJc w:val="left"/>
      <w:pPr>
        <w:ind w:left="1296" w:hanging="360"/>
      </w:pPr>
    </w:lvl>
    <w:lvl w:ilvl="2" w:tplc="040C001B" w:tentative="1">
      <w:start w:val="1"/>
      <w:numFmt w:val="lowerRoman"/>
      <w:lvlText w:val="%3."/>
      <w:lvlJc w:val="right"/>
      <w:pPr>
        <w:ind w:left="2016" w:hanging="180"/>
      </w:pPr>
    </w:lvl>
    <w:lvl w:ilvl="3" w:tplc="040C000F" w:tentative="1">
      <w:start w:val="1"/>
      <w:numFmt w:val="decimal"/>
      <w:lvlText w:val="%4."/>
      <w:lvlJc w:val="left"/>
      <w:pPr>
        <w:ind w:left="2736" w:hanging="360"/>
      </w:pPr>
    </w:lvl>
    <w:lvl w:ilvl="4" w:tplc="040C0019" w:tentative="1">
      <w:start w:val="1"/>
      <w:numFmt w:val="lowerLetter"/>
      <w:lvlText w:val="%5."/>
      <w:lvlJc w:val="left"/>
      <w:pPr>
        <w:ind w:left="3456" w:hanging="360"/>
      </w:pPr>
    </w:lvl>
    <w:lvl w:ilvl="5" w:tplc="040C001B" w:tentative="1">
      <w:start w:val="1"/>
      <w:numFmt w:val="lowerRoman"/>
      <w:lvlText w:val="%6."/>
      <w:lvlJc w:val="right"/>
      <w:pPr>
        <w:ind w:left="4176" w:hanging="180"/>
      </w:pPr>
    </w:lvl>
    <w:lvl w:ilvl="6" w:tplc="040C000F" w:tentative="1">
      <w:start w:val="1"/>
      <w:numFmt w:val="decimal"/>
      <w:lvlText w:val="%7."/>
      <w:lvlJc w:val="left"/>
      <w:pPr>
        <w:ind w:left="4896" w:hanging="360"/>
      </w:pPr>
    </w:lvl>
    <w:lvl w:ilvl="7" w:tplc="040C0019" w:tentative="1">
      <w:start w:val="1"/>
      <w:numFmt w:val="lowerLetter"/>
      <w:lvlText w:val="%8."/>
      <w:lvlJc w:val="left"/>
      <w:pPr>
        <w:ind w:left="5616" w:hanging="360"/>
      </w:pPr>
    </w:lvl>
    <w:lvl w:ilvl="8" w:tplc="040C001B" w:tentative="1">
      <w:start w:val="1"/>
      <w:numFmt w:val="lowerRoman"/>
      <w:lvlText w:val="%9."/>
      <w:lvlJc w:val="right"/>
      <w:pPr>
        <w:ind w:left="6336" w:hanging="180"/>
      </w:pPr>
    </w:lvl>
  </w:abstractNum>
  <w:abstractNum w:abstractNumId="17" w15:restartNumberingAfterBreak="0">
    <w:nsid w:val="399B2AE1"/>
    <w:multiLevelType w:val="hybridMultilevel"/>
    <w:tmpl w:val="8594FD42"/>
    <w:lvl w:ilvl="0" w:tplc="AF7E1D5A">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0471B12"/>
    <w:multiLevelType w:val="hybridMultilevel"/>
    <w:tmpl w:val="F3465AC4"/>
    <w:lvl w:ilvl="0" w:tplc="8874524E">
      <w:start w:val="2"/>
      <w:numFmt w:val="upperLetter"/>
      <w:lvlText w:val="%1)"/>
      <w:lvlJc w:val="left"/>
      <w:pPr>
        <w:ind w:left="936" w:hanging="360"/>
      </w:pPr>
      <w:rPr>
        <w:rFonts w:hint="default"/>
      </w:rPr>
    </w:lvl>
    <w:lvl w:ilvl="1" w:tplc="040C0019" w:tentative="1">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19" w15:restartNumberingAfterBreak="0">
    <w:nsid w:val="41C61088"/>
    <w:multiLevelType w:val="hybridMultilevel"/>
    <w:tmpl w:val="D01C6540"/>
    <w:lvl w:ilvl="0" w:tplc="7250E996">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B27253"/>
    <w:multiLevelType w:val="multilevel"/>
    <w:tmpl w:val="2FD0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B440BC"/>
    <w:multiLevelType w:val="multilevel"/>
    <w:tmpl w:val="46A8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7A6282"/>
    <w:multiLevelType w:val="multilevel"/>
    <w:tmpl w:val="B156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C81375"/>
    <w:multiLevelType w:val="hybridMultilevel"/>
    <w:tmpl w:val="F9B05B64"/>
    <w:lvl w:ilvl="0" w:tplc="8076AE82">
      <w:start w:val="1"/>
      <w:numFmt w:val="upperLetter"/>
      <w:lvlText w:val="%1)"/>
      <w:lvlJc w:val="left"/>
      <w:pPr>
        <w:ind w:left="936" w:hanging="360"/>
      </w:pPr>
      <w:rPr>
        <w:rFonts w:hint="default"/>
        <w:b w:val="0"/>
        <w:bCs w:val="0"/>
      </w:rPr>
    </w:lvl>
    <w:lvl w:ilvl="1" w:tplc="040C0019" w:tentative="1">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24" w15:restartNumberingAfterBreak="0">
    <w:nsid w:val="5B20327F"/>
    <w:multiLevelType w:val="hybridMultilevel"/>
    <w:tmpl w:val="8582562A"/>
    <w:lvl w:ilvl="0" w:tplc="61C434D6">
      <w:start w:val="1"/>
      <w:numFmt w:val="upperLetter"/>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BF210FD"/>
    <w:multiLevelType w:val="hybridMultilevel"/>
    <w:tmpl w:val="8A545AE0"/>
    <w:lvl w:ilvl="0" w:tplc="D884E3AA">
      <w:start w:val="1"/>
      <w:numFmt w:val="upperLetter"/>
      <w:lvlText w:val="%1)"/>
      <w:lvlJc w:val="left"/>
      <w:pPr>
        <w:ind w:left="576" w:hanging="360"/>
      </w:pPr>
      <w:rPr>
        <w:rFonts w:hint="default"/>
      </w:rPr>
    </w:lvl>
    <w:lvl w:ilvl="1" w:tplc="040C0019" w:tentative="1">
      <w:start w:val="1"/>
      <w:numFmt w:val="lowerLetter"/>
      <w:lvlText w:val="%2."/>
      <w:lvlJc w:val="left"/>
      <w:pPr>
        <w:ind w:left="1296" w:hanging="360"/>
      </w:pPr>
    </w:lvl>
    <w:lvl w:ilvl="2" w:tplc="040C001B" w:tentative="1">
      <w:start w:val="1"/>
      <w:numFmt w:val="lowerRoman"/>
      <w:lvlText w:val="%3."/>
      <w:lvlJc w:val="right"/>
      <w:pPr>
        <w:ind w:left="2016" w:hanging="180"/>
      </w:pPr>
    </w:lvl>
    <w:lvl w:ilvl="3" w:tplc="040C000F" w:tentative="1">
      <w:start w:val="1"/>
      <w:numFmt w:val="decimal"/>
      <w:lvlText w:val="%4."/>
      <w:lvlJc w:val="left"/>
      <w:pPr>
        <w:ind w:left="2736" w:hanging="360"/>
      </w:pPr>
    </w:lvl>
    <w:lvl w:ilvl="4" w:tplc="040C0019" w:tentative="1">
      <w:start w:val="1"/>
      <w:numFmt w:val="lowerLetter"/>
      <w:lvlText w:val="%5."/>
      <w:lvlJc w:val="left"/>
      <w:pPr>
        <w:ind w:left="3456" w:hanging="360"/>
      </w:pPr>
    </w:lvl>
    <w:lvl w:ilvl="5" w:tplc="040C001B" w:tentative="1">
      <w:start w:val="1"/>
      <w:numFmt w:val="lowerRoman"/>
      <w:lvlText w:val="%6."/>
      <w:lvlJc w:val="right"/>
      <w:pPr>
        <w:ind w:left="4176" w:hanging="180"/>
      </w:pPr>
    </w:lvl>
    <w:lvl w:ilvl="6" w:tplc="040C000F" w:tentative="1">
      <w:start w:val="1"/>
      <w:numFmt w:val="decimal"/>
      <w:lvlText w:val="%7."/>
      <w:lvlJc w:val="left"/>
      <w:pPr>
        <w:ind w:left="4896" w:hanging="360"/>
      </w:pPr>
    </w:lvl>
    <w:lvl w:ilvl="7" w:tplc="040C0019" w:tentative="1">
      <w:start w:val="1"/>
      <w:numFmt w:val="lowerLetter"/>
      <w:lvlText w:val="%8."/>
      <w:lvlJc w:val="left"/>
      <w:pPr>
        <w:ind w:left="5616" w:hanging="360"/>
      </w:pPr>
    </w:lvl>
    <w:lvl w:ilvl="8" w:tplc="040C001B" w:tentative="1">
      <w:start w:val="1"/>
      <w:numFmt w:val="lowerRoman"/>
      <w:lvlText w:val="%9."/>
      <w:lvlJc w:val="right"/>
      <w:pPr>
        <w:ind w:left="6336" w:hanging="180"/>
      </w:pPr>
    </w:lvl>
  </w:abstractNum>
  <w:abstractNum w:abstractNumId="26" w15:restartNumberingAfterBreak="0">
    <w:nsid w:val="5C504541"/>
    <w:multiLevelType w:val="multilevel"/>
    <w:tmpl w:val="41A4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8A4A8F"/>
    <w:multiLevelType w:val="hybridMultilevel"/>
    <w:tmpl w:val="32EE540C"/>
    <w:lvl w:ilvl="0" w:tplc="314CB502">
      <w:start w:val="1"/>
      <w:numFmt w:val="upperLetter"/>
      <w:pStyle w:val="Stylepetittitre2"/>
      <w:lvlText w:val="%1."/>
      <w:lvlJc w:val="left"/>
      <w:pPr>
        <w:ind w:left="1211" w:hanging="360"/>
      </w:p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8" w15:restartNumberingAfterBreak="0">
    <w:nsid w:val="5F046CE1"/>
    <w:multiLevelType w:val="hybridMultilevel"/>
    <w:tmpl w:val="9CD2B05A"/>
    <w:lvl w:ilvl="0" w:tplc="087AA5A2">
      <w:start w:val="1"/>
      <w:numFmt w:val="upperLetter"/>
      <w:lvlText w:val="%1)"/>
      <w:lvlJc w:val="left"/>
      <w:pPr>
        <w:ind w:left="576" w:hanging="360"/>
      </w:pPr>
      <w:rPr>
        <w:rFonts w:hint="default"/>
      </w:rPr>
    </w:lvl>
    <w:lvl w:ilvl="1" w:tplc="040C0019" w:tentative="1">
      <w:start w:val="1"/>
      <w:numFmt w:val="lowerLetter"/>
      <w:lvlText w:val="%2."/>
      <w:lvlJc w:val="left"/>
      <w:pPr>
        <w:ind w:left="1296" w:hanging="360"/>
      </w:pPr>
    </w:lvl>
    <w:lvl w:ilvl="2" w:tplc="040C001B" w:tentative="1">
      <w:start w:val="1"/>
      <w:numFmt w:val="lowerRoman"/>
      <w:lvlText w:val="%3."/>
      <w:lvlJc w:val="right"/>
      <w:pPr>
        <w:ind w:left="2016" w:hanging="180"/>
      </w:pPr>
    </w:lvl>
    <w:lvl w:ilvl="3" w:tplc="040C000F" w:tentative="1">
      <w:start w:val="1"/>
      <w:numFmt w:val="decimal"/>
      <w:lvlText w:val="%4."/>
      <w:lvlJc w:val="left"/>
      <w:pPr>
        <w:ind w:left="2736" w:hanging="360"/>
      </w:pPr>
    </w:lvl>
    <w:lvl w:ilvl="4" w:tplc="040C0019" w:tentative="1">
      <w:start w:val="1"/>
      <w:numFmt w:val="lowerLetter"/>
      <w:lvlText w:val="%5."/>
      <w:lvlJc w:val="left"/>
      <w:pPr>
        <w:ind w:left="3456" w:hanging="360"/>
      </w:pPr>
    </w:lvl>
    <w:lvl w:ilvl="5" w:tplc="040C001B" w:tentative="1">
      <w:start w:val="1"/>
      <w:numFmt w:val="lowerRoman"/>
      <w:lvlText w:val="%6."/>
      <w:lvlJc w:val="right"/>
      <w:pPr>
        <w:ind w:left="4176" w:hanging="180"/>
      </w:pPr>
    </w:lvl>
    <w:lvl w:ilvl="6" w:tplc="040C000F" w:tentative="1">
      <w:start w:val="1"/>
      <w:numFmt w:val="decimal"/>
      <w:lvlText w:val="%7."/>
      <w:lvlJc w:val="left"/>
      <w:pPr>
        <w:ind w:left="4896" w:hanging="360"/>
      </w:pPr>
    </w:lvl>
    <w:lvl w:ilvl="7" w:tplc="040C0019" w:tentative="1">
      <w:start w:val="1"/>
      <w:numFmt w:val="lowerLetter"/>
      <w:lvlText w:val="%8."/>
      <w:lvlJc w:val="left"/>
      <w:pPr>
        <w:ind w:left="5616" w:hanging="360"/>
      </w:pPr>
    </w:lvl>
    <w:lvl w:ilvl="8" w:tplc="040C001B" w:tentative="1">
      <w:start w:val="1"/>
      <w:numFmt w:val="lowerRoman"/>
      <w:lvlText w:val="%9."/>
      <w:lvlJc w:val="right"/>
      <w:pPr>
        <w:ind w:left="6336" w:hanging="180"/>
      </w:pPr>
    </w:lvl>
  </w:abstractNum>
  <w:abstractNum w:abstractNumId="29" w15:restartNumberingAfterBreak="0">
    <w:nsid w:val="653277FD"/>
    <w:multiLevelType w:val="multilevel"/>
    <w:tmpl w:val="DC40130E"/>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0" w15:restartNumberingAfterBreak="0">
    <w:nsid w:val="6A9A5F3A"/>
    <w:multiLevelType w:val="multilevel"/>
    <w:tmpl w:val="647C58A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1" w15:restartNumberingAfterBreak="0">
    <w:nsid w:val="6E131D7B"/>
    <w:multiLevelType w:val="hybridMultilevel"/>
    <w:tmpl w:val="BEFA185C"/>
    <w:lvl w:ilvl="0" w:tplc="553406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7A548DF"/>
    <w:multiLevelType w:val="hybridMultilevel"/>
    <w:tmpl w:val="A8566818"/>
    <w:lvl w:ilvl="0" w:tplc="698EE02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7FB3538"/>
    <w:multiLevelType w:val="hybridMultilevel"/>
    <w:tmpl w:val="7E2CCA92"/>
    <w:lvl w:ilvl="0" w:tplc="AC129E3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E4A3562"/>
    <w:multiLevelType w:val="hybridMultilevel"/>
    <w:tmpl w:val="1132202C"/>
    <w:lvl w:ilvl="0" w:tplc="A2B2FF7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21241604">
    <w:abstractNumId w:val="9"/>
  </w:num>
  <w:num w:numId="2" w16cid:durableId="9334063">
    <w:abstractNumId w:val="6"/>
  </w:num>
  <w:num w:numId="3" w16cid:durableId="1567911672">
    <w:abstractNumId w:val="13"/>
  </w:num>
  <w:num w:numId="4" w16cid:durableId="1481847635">
    <w:abstractNumId w:val="8"/>
  </w:num>
  <w:num w:numId="5" w16cid:durableId="427696341">
    <w:abstractNumId w:val="19"/>
  </w:num>
  <w:num w:numId="6" w16cid:durableId="2103068923">
    <w:abstractNumId w:val="21"/>
  </w:num>
  <w:num w:numId="7" w16cid:durableId="137453093">
    <w:abstractNumId w:val="4"/>
  </w:num>
  <w:num w:numId="8" w16cid:durableId="386808660">
    <w:abstractNumId w:val="26"/>
  </w:num>
  <w:num w:numId="9" w16cid:durableId="1273900478">
    <w:abstractNumId w:val="20"/>
  </w:num>
  <w:num w:numId="10" w16cid:durableId="1168667324">
    <w:abstractNumId w:val="0"/>
  </w:num>
  <w:num w:numId="11" w16cid:durableId="1036806695">
    <w:abstractNumId w:val="24"/>
  </w:num>
  <w:num w:numId="12" w16cid:durableId="1361321877">
    <w:abstractNumId w:val="28"/>
  </w:num>
  <w:num w:numId="13" w16cid:durableId="1093942378">
    <w:abstractNumId w:val="7"/>
  </w:num>
  <w:num w:numId="14" w16cid:durableId="791023419">
    <w:abstractNumId w:val="11"/>
  </w:num>
  <w:num w:numId="15" w16cid:durableId="1605649209">
    <w:abstractNumId w:val="31"/>
  </w:num>
  <w:num w:numId="16" w16cid:durableId="1816798896">
    <w:abstractNumId w:val="16"/>
  </w:num>
  <w:num w:numId="17" w16cid:durableId="723679048">
    <w:abstractNumId w:val="17"/>
  </w:num>
  <w:num w:numId="18" w16cid:durableId="1740514526">
    <w:abstractNumId w:val="23"/>
  </w:num>
  <w:num w:numId="19" w16cid:durableId="94449338">
    <w:abstractNumId w:val="18"/>
  </w:num>
  <w:num w:numId="20" w16cid:durableId="1651136030">
    <w:abstractNumId w:val="22"/>
  </w:num>
  <w:num w:numId="21" w16cid:durableId="514148425">
    <w:abstractNumId w:val="29"/>
  </w:num>
  <w:num w:numId="22" w16cid:durableId="143200711">
    <w:abstractNumId w:val="32"/>
  </w:num>
  <w:num w:numId="23" w16cid:durableId="463079212">
    <w:abstractNumId w:val="28"/>
    <w:lvlOverride w:ilvl="0">
      <w:startOverride w:val="3"/>
    </w:lvlOverride>
  </w:num>
  <w:num w:numId="24" w16cid:durableId="1102187322">
    <w:abstractNumId w:val="34"/>
  </w:num>
  <w:num w:numId="25" w16cid:durableId="470101510">
    <w:abstractNumId w:val="12"/>
  </w:num>
  <w:num w:numId="26" w16cid:durableId="213665555">
    <w:abstractNumId w:val="15"/>
  </w:num>
  <w:num w:numId="27" w16cid:durableId="65492765">
    <w:abstractNumId w:val="33"/>
  </w:num>
  <w:num w:numId="28" w16cid:durableId="1594584010">
    <w:abstractNumId w:val="10"/>
  </w:num>
  <w:num w:numId="29" w16cid:durableId="554781396">
    <w:abstractNumId w:val="25"/>
  </w:num>
  <w:num w:numId="30" w16cid:durableId="1695115734">
    <w:abstractNumId w:val="2"/>
  </w:num>
  <w:num w:numId="31" w16cid:durableId="1312367271">
    <w:abstractNumId w:val="5"/>
  </w:num>
  <w:num w:numId="32" w16cid:durableId="1264804535">
    <w:abstractNumId w:val="27"/>
  </w:num>
  <w:num w:numId="33" w16cid:durableId="729304629">
    <w:abstractNumId w:val="1"/>
  </w:num>
  <w:num w:numId="34" w16cid:durableId="1669208364">
    <w:abstractNumId w:val="14"/>
  </w:num>
  <w:num w:numId="35" w16cid:durableId="167867733">
    <w:abstractNumId w:val="3"/>
  </w:num>
  <w:num w:numId="36" w16cid:durableId="313023443">
    <w:abstractNumId w:val="30"/>
  </w:num>
  <w:num w:numId="37" w16cid:durableId="1827891245">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67"/>
    <w:rsid w:val="000035A3"/>
    <w:rsid w:val="00012D1F"/>
    <w:rsid w:val="000144E6"/>
    <w:rsid w:val="00023E67"/>
    <w:rsid w:val="0002647B"/>
    <w:rsid w:val="00035C12"/>
    <w:rsid w:val="0003710A"/>
    <w:rsid w:val="000436E7"/>
    <w:rsid w:val="00055E3D"/>
    <w:rsid w:val="00061E2F"/>
    <w:rsid w:val="00062C1E"/>
    <w:rsid w:val="00065E65"/>
    <w:rsid w:val="00075627"/>
    <w:rsid w:val="00087B00"/>
    <w:rsid w:val="00097C5F"/>
    <w:rsid w:val="000A13A7"/>
    <w:rsid w:val="000A267E"/>
    <w:rsid w:val="000A5896"/>
    <w:rsid w:val="000A610A"/>
    <w:rsid w:val="000A68AC"/>
    <w:rsid w:val="000E11AA"/>
    <w:rsid w:val="000E1D01"/>
    <w:rsid w:val="000E2955"/>
    <w:rsid w:val="000F0DDE"/>
    <w:rsid w:val="000F4429"/>
    <w:rsid w:val="000F49BF"/>
    <w:rsid w:val="00101DCA"/>
    <w:rsid w:val="0010264E"/>
    <w:rsid w:val="00110862"/>
    <w:rsid w:val="001156D6"/>
    <w:rsid w:val="0012287A"/>
    <w:rsid w:val="00132512"/>
    <w:rsid w:val="00133F3E"/>
    <w:rsid w:val="001533C1"/>
    <w:rsid w:val="001561D2"/>
    <w:rsid w:val="0016242B"/>
    <w:rsid w:val="00170A6A"/>
    <w:rsid w:val="001855CC"/>
    <w:rsid w:val="00193B7A"/>
    <w:rsid w:val="001A2307"/>
    <w:rsid w:val="001A25F6"/>
    <w:rsid w:val="001C52AF"/>
    <w:rsid w:val="001E426D"/>
    <w:rsid w:val="00212B73"/>
    <w:rsid w:val="00212E66"/>
    <w:rsid w:val="002157E3"/>
    <w:rsid w:val="00216340"/>
    <w:rsid w:val="002264C1"/>
    <w:rsid w:val="0023163B"/>
    <w:rsid w:val="00232134"/>
    <w:rsid w:val="00234ED4"/>
    <w:rsid w:val="00237E42"/>
    <w:rsid w:val="00244616"/>
    <w:rsid w:val="00245713"/>
    <w:rsid w:val="00253E06"/>
    <w:rsid w:val="002645EB"/>
    <w:rsid w:val="002A6EA7"/>
    <w:rsid w:val="002B6F1D"/>
    <w:rsid w:val="002C02B3"/>
    <w:rsid w:val="002E0AE5"/>
    <w:rsid w:val="002E5E86"/>
    <w:rsid w:val="00302B3D"/>
    <w:rsid w:val="003038B4"/>
    <w:rsid w:val="003242DE"/>
    <w:rsid w:val="00324B5E"/>
    <w:rsid w:val="00327DDB"/>
    <w:rsid w:val="00331402"/>
    <w:rsid w:val="00331A11"/>
    <w:rsid w:val="00335A35"/>
    <w:rsid w:val="00342F2B"/>
    <w:rsid w:val="003446DA"/>
    <w:rsid w:val="00353108"/>
    <w:rsid w:val="00371F82"/>
    <w:rsid w:val="003A7BE8"/>
    <w:rsid w:val="003B1DC9"/>
    <w:rsid w:val="003C123D"/>
    <w:rsid w:val="003C19D3"/>
    <w:rsid w:val="003C5616"/>
    <w:rsid w:val="003D3701"/>
    <w:rsid w:val="003D3F8C"/>
    <w:rsid w:val="003D4DA8"/>
    <w:rsid w:val="003E03BF"/>
    <w:rsid w:val="003E11A9"/>
    <w:rsid w:val="003E2201"/>
    <w:rsid w:val="003E486A"/>
    <w:rsid w:val="003F2252"/>
    <w:rsid w:val="0040530C"/>
    <w:rsid w:val="00406C18"/>
    <w:rsid w:val="00411AD7"/>
    <w:rsid w:val="004125CE"/>
    <w:rsid w:val="00435DD7"/>
    <w:rsid w:val="00447BFC"/>
    <w:rsid w:val="00450FCB"/>
    <w:rsid w:val="00461DAF"/>
    <w:rsid w:val="004647A0"/>
    <w:rsid w:val="0046513F"/>
    <w:rsid w:val="00471183"/>
    <w:rsid w:val="004825E7"/>
    <w:rsid w:val="004A1197"/>
    <w:rsid w:val="004A24C5"/>
    <w:rsid w:val="004A48DD"/>
    <w:rsid w:val="004B4DD5"/>
    <w:rsid w:val="004B70FE"/>
    <w:rsid w:val="004B7E36"/>
    <w:rsid w:val="004C2F93"/>
    <w:rsid w:val="004C34F8"/>
    <w:rsid w:val="004D487F"/>
    <w:rsid w:val="004E716C"/>
    <w:rsid w:val="004F225C"/>
    <w:rsid w:val="004F2578"/>
    <w:rsid w:val="00513FF2"/>
    <w:rsid w:val="00520444"/>
    <w:rsid w:val="005264CB"/>
    <w:rsid w:val="00532123"/>
    <w:rsid w:val="00535F6E"/>
    <w:rsid w:val="00543D39"/>
    <w:rsid w:val="00560FC4"/>
    <w:rsid w:val="00561DBD"/>
    <w:rsid w:val="0058061F"/>
    <w:rsid w:val="0058366D"/>
    <w:rsid w:val="00587126"/>
    <w:rsid w:val="0059118D"/>
    <w:rsid w:val="00593C98"/>
    <w:rsid w:val="005A23DE"/>
    <w:rsid w:val="005A7842"/>
    <w:rsid w:val="005B7878"/>
    <w:rsid w:val="005C0847"/>
    <w:rsid w:val="005C4DF3"/>
    <w:rsid w:val="005C5BB6"/>
    <w:rsid w:val="005C7C66"/>
    <w:rsid w:val="005D23C5"/>
    <w:rsid w:val="005E1BB8"/>
    <w:rsid w:val="005F2538"/>
    <w:rsid w:val="005F64DA"/>
    <w:rsid w:val="0060678D"/>
    <w:rsid w:val="006312FA"/>
    <w:rsid w:val="006522ED"/>
    <w:rsid w:val="0065562F"/>
    <w:rsid w:val="006622D5"/>
    <w:rsid w:val="00664B34"/>
    <w:rsid w:val="00672D92"/>
    <w:rsid w:val="00672F4B"/>
    <w:rsid w:val="00676285"/>
    <w:rsid w:val="00677D09"/>
    <w:rsid w:val="006A2EF2"/>
    <w:rsid w:val="006B2ABD"/>
    <w:rsid w:val="006B4AFF"/>
    <w:rsid w:val="006D3DEC"/>
    <w:rsid w:val="006D5E13"/>
    <w:rsid w:val="006E0F8E"/>
    <w:rsid w:val="006E74A1"/>
    <w:rsid w:val="006F50CD"/>
    <w:rsid w:val="007055E7"/>
    <w:rsid w:val="00724343"/>
    <w:rsid w:val="00725230"/>
    <w:rsid w:val="007345CE"/>
    <w:rsid w:val="0075023C"/>
    <w:rsid w:val="007502AC"/>
    <w:rsid w:val="007539D6"/>
    <w:rsid w:val="00755A3C"/>
    <w:rsid w:val="00766240"/>
    <w:rsid w:val="00773DFD"/>
    <w:rsid w:val="00777F9C"/>
    <w:rsid w:val="007954AA"/>
    <w:rsid w:val="007A0431"/>
    <w:rsid w:val="007A4DB0"/>
    <w:rsid w:val="007A5CC8"/>
    <w:rsid w:val="007B41F2"/>
    <w:rsid w:val="007B60BD"/>
    <w:rsid w:val="007C0FB0"/>
    <w:rsid w:val="007D51CD"/>
    <w:rsid w:val="007E0053"/>
    <w:rsid w:val="007E7164"/>
    <w:rsid w:val="007F0256"/>
    <w:rsid w:val="007F2649"/>
    <w:rsid w:val="007F3A73"/>
    <w:rsid w:val="007F5537"/>
    <w:rsid w:val="00807E52"/>
    <w:rsid w:val="008125B7"/>
    <w:rsid w:val="0081556D"/>
    <w:rsid w:val="008169EF"/>
    <w:rsid w:val="0082585E"/>
    <w:rsid w:val="00833ED3"/>
    <w:rsid w:val="008342E7"/>
    <w:rsid w:val="00834E70"/>
    <w:rsid w:val="00876CB5"/>
    <w:rsid w:val="008867D3"/>
    <w:rsid w:val="00887541"/>
    <w:rsid w:val="008B337E"/>
    <w:rsid w:val="008C2B0D"/>
    <w:rsid w:val="008F660C"/>
    <w:rsid w:val="009105D7"/>
    <w:rsid w:val="009123EF"/>
    <w:rsid w:val="009162EA"/>
    <w:rsid w:val="0092722C"/>
    <w:rsid w:val="0093164C"/>
    <w:rsid w:val="0094353F"/>
    <w:rsid w:val="00943BC6"/>
    <w:rsid w:val="00944C83"/>
    <w:rsid w:val="00950C88"/>
    <w:rsid w:val="00957994"/>
    <w:rsid w:val="0097100E"/>
    <w:rsid w:val="00974264"/>
    <w:rsid w:val="009853A1"/>
    <w:rsid w:val="00993438"/>
    <w:rsid w:val="009C0751"/>
    <w:rsid w:val="009C2610"/>
    <w:rsid w:val="009C35C3"/>
    <w:rsid w:val="009C6537"/>
    <w:rsid w:val="009E0771"/>
    <w:rsid w:val="009E22C1"/>
    <w:rsid w:val="009F2519"/>
    <w:rsid w:val="00A06851"/>
    <w:rsid w:val="00A10227"/>
    <w:rsid w:val="00A162DE"/>
    <w:rsid w:val="00A17AAA"/>
    <w:rsid w:val="00A21AF9"/>
    <w:rsid w:val="00A2514D"/>
    <w:rsid w:val="00A31335"/>
    <w:rsid w:val="00A31DE1"/>
    <w:rsid w:val="00A51867"/>
    <w:rsid w:val="00A52630"/>
    <w:rsid w:val="00A62FE9"/>
    <w:rsid w:val="00A6491C"/>
    <w:rsid w:val="00A7083A"/>
    <w:rsid w:val="00A715C3"/>
    <w:rsid w:val="00AA2437"/>
    <w:rsid w:val="00AA704B"/>
    <w:rsid w:val="00AB30BB"/>
    <w:rsid w:val="00AC3EEC"/>
    <w:rsid w:val="00AD2536"/>
    <w:rsid w:val="00AD45C4"/>
    <w:rsid w:val="00AE1943"/>
    <w:rsid w:val="00AF1D9D"/>
    <w:rsid w:val="00AF6BE1"/>
    <w:rsid w:val="00B147D0"/>
    <w:rsid w:val="00B25CF6"/>
    <w:rsid w:val="00B33F9C"/>
    <w:rsid w:val="00B34F06"/>
    <w:rsid w:val="00B36492"/>
    <w:rsid w:val="00B3665C"/>
    <w:rsid w:val="00B41A49"/>
    <w:rsid w:val="00B44BB2"/>
    <w:rsid w:val="00B45C75"/>
    <w:rsid w:val="00B51645"/>
    <w:rsid w:val="00B55068"/>
    <w:rsid w:val="00B6012A"/>
    <w:rsid w:val="00B60B87"/>
    <w:rsid w:val="00B6510A"/>
    <w:rsid w:val="00B75096"/>
    <w:rsid w:val="00B76CC2"/>
    <w:rsid w:val="00B91DA9"/>
    <w:rsid w:val="00BA5247"/>
    <w:rsid w:val="00BA7DF2"/>
    <w:rsid w:val="00BC2CDF"/>
    <w:rsid w:val="00BC607E"/>
    <w:rsid w:val="00BE63F4"/>
    <w:rsid w:val="00BF17B9"/>
    <w:rsid w:val="00C23BAE"/>
    <w:rsid w:val="00C23ECF"/>
    <w:rsid w:val="00C27B4C"/>
    <w:rsid w:val="00C354C2"/>
    <w:rsid w:val="00C424EB"/>
    <w:rsid w:val="00C63634"/>
    <w:rsid w:val="00C64C3F"/>
    <w:rsid w:val="00C6789C"/>
    <w:rsid w:val="00C704D2"/>
    <w:rsid w:val="00C7384D"/>
    <w:rsid w:val="00C81B78"/>
    <w:rsid w:val="00C861C9"/>
    <w:rsid w:val="00CB00B9"/>
    <w:rsid w:val="00CB0A89"/>
    <w:rsid w:val="00CD77F6"/>
    <w:rsid w:val="00CE3573"/>
    <w:rsid w:val="00CE76AA"/>
    <w:rsid w:val="00CF1C24"/>
    <w:rsid w:val="00D004B0"/>
    <w:rsid w:val="00D1699A"/>
    <w:rsid w:val="00D24419"/>
    <w:rsid w:val="00D26B76"/>
    <w:rsid w:val="00D3389D"/>
    <w:rsid w:val="00D34F68"/>
    <w:rsid w:val="00D4106B"/>
    <w:rsid w:val="00D63C08"/>
    <w:rsid w:val="00D66B0C"/>
    <w:rsid w:val="00D675F6"/>
    <w:rsid w:val="00D76083"/>
    <w:rsid w:val="00D82F6E"/>
    <w:rsid w:val="00D92BC4"/>
    <w:rsid w:val="00D976F3"/>
    <w:rsid w:val="00DC3BDF"/>
    <w:rsid w:val="00DD744C"/>
    <w:rsid w:val="00DE7184"/>
    <w:rsid w:val="00DF1790"/>
    <w:rsid w:val="00DF5CC3"/>
    <w:rsid w:val="00E03DC4"/>
    <w:rsid w:val="00E06AD4"/>
    <w:rsid w:val="00E25F1B"/>
    <w:rsid w:val="00E26146"/>
    <w:rsid w:val="00E3468C"/>
    <w:rsid w:val="00E35A41"/>
    <w:rsid w:val="00E42AF4"/>
    <w:rsid w:val="00E50C67"/>
    <w:rsid w:val="00E516DF"/>
    <w:rsid w:val="00E5205A"/>
    <w:rsid w:val="00E53F4B"/>
    <w:rsid w:val="00E65DFA"/>
    <w:rsid w:val="00E7122F"/>
    <w:rsid w:val="00E775F1"/>
    <w:rsid w:val="00E867D0"/>
    <w:rsid w:val="00E97FEB"/>
    <w:rsid w:val="00EA18A3"/>
    <w:rsid w:val="00EA2C21"/>
    <w:rsid w:val="00EA3C4E"/>
    <w:rsid w:val="00EA3E33"/>
    <w:rsid w:val="00EA425C"/>
    <w:rsid w:val="00EA5B4F"/>
    <w:rsid w:val="00EB1491"/>
    <w:rsid w:val="00ED15FF"/>
    <w:rsid w:val="00ED4498"/>
    <w:rsid w:val="00EF223C"/>
    <w:rsid w:val="00EF608D"/>
    <w:rsid w:val="00EF61F6"/>
    <w:rsid w:val="00EF7CD4"/>
    <w:rsid w:val="00F03879"/>
    <w:rsid w:val="00F122D9"/>
    <w:rsid w:val="00F2410A"/>
    <w:rsid w:val="00F347D0"/>
    <w:rsid w:val="00F351FA"/>
    <w:rsid w:val="00F35D8F"/>
    <w:rsid w:val="00F5208D"/>
    <w:rsid w:val="00F55573"/>
    <w:rsid w:val="00F7081C"/>
    <w:rsid w:val="00F91714"/>
    <w:rsid w:val="00FA0F96"/>
    <w:rsid w:val="00FA3D7F"/>
    <w:rsid w:val="00FB1C96"/>
    <w:rsid w:val="00FB3ECC"/>
    <w:rsid w:val="00FB52F7"/>
    <w:rsid w:val="00FC420C"/>
    <w:rsid w:val="00FD0359"/>
    <w:rsid w:val="00FD4509"/>
    <w:rsid w:val="00FD4CBF"/>
    <w:rsid w:val="00FF2EE5"/>
    <w:rsid w:val="00FF31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1214"/>
  <w15:chartTrackingRefBased/>
  <w15:docId w15:val="{9EF416A3-FFB9-4F4E-9C5C-74244C28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aliases w:val="Titre.1"/>
    <w:basedOn w:val="Normal"/>
    <w:next w:val="Normal"/>
    <w:link w:val="Titre1Car"/>
    <w:autoRedefine/>
    <w:uiPriority w:val="9"/>
    <w:qFormat/>
    <w:rsid w:val="00FD4509"/>
    <w:pPr>
      <w:keepNext/>
      <w:keepLines/>
      <w:numPr>
        <w:numId w:val="36"/>
      </w:numPr>
      <w:spacing w:before="360" w:after="80" w:line="360" w:lineRule="auto"/>
      <w:ind w:left="-567" w:right="-283" w:firstLine="0"/>
      <w:jc w:val="both"/>
      <w:outlineLvl w:val="0"/>
    </w:pPr>
    <w:rPr>
      <w:rFonts w:ascii="Times New Roman" w:eastAsiaTheme="majorEastAsia" w:hAnsi="Times New Roman" w:cstheme="majorBidi"/>
      <w:b/>
      <w:color w:val="000000" w:themeColor="text1"/>
      <w:sz w:val="32"/>
      <w:szCs w:val="40"/>
    </w:rPr>
  </w:style>
  <w:style w:type="paragraph" w:styleId="Titre2">
    <w:name w:val="heading 2"/>
    <w:basedOn w:val="Stylepetittitre"/>
    <w:next w:val="Normal"/>
    <w:link w:val="Titre2Car"/>
    <w:uiPriority w:val="9"/>
    <w:unhideWhenUsed/>
    <w:qFormat/>
    <w:rsid w:val="001A2307"/>
    <w:pPr>
      <w:numPr>
        <w:ilvl w:val="1"/>
        <w:numId w:val="36"/>
      </w:numPr>
      <w:spacing w:before="160" w:after="80" w:line="360" w:lineRule="auto"/>
      <w:outlineLvl w:val="1"/>
    </w:pPr>
    <w:rPr>
      <w:b/>
    </w:rPr>
  </w:style>
  <w:style w:type="paragraph" w:styleId="Titre3">
    <w:name w:val="heading 3"/>
    <w:basedOn w:val="Normal"/>
    <w:next w:val="Normal"/>
    <w:link w:val="Titre3Car"/>
    <w:uiPriority w:val="9"/>
    <w:unhideWhenUsed/>
    <w:qFormat/>
    <w:rsid w:val="00023E67"/>
    <w:pPr>
      <w:keepNext/>
      <w:keepLines/>
      <w:numPr>
        <w:ilvl w:val="2"/>
        <w:numId w:val="36"/>
      </w:numPr>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23E67"/>
    <w:pPr>
      <w:keepNext/>
      <w:keepLines/>
      <w:numPr>
        <w:ilvl w:val="3"/>
        <w:numId w:val="36"/>
      </w:numPr>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23E67"/>
    <w:pPr>
      <w:keepNext/>
      <w:keepLines/>
      <w:numPr>
        <w:ilvl w:val="4"/>
        <w:numId w:val="36"/>
      </w:numPr>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23E67"/>
    <w:pPr>
      <w:keepNext/>
      <w:keepLines/>
      <w:numPr>
        <w:ilvl w:val="5"/>
        <w:numId w:val="36"/>
      </w:numPr>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23E67"/>
    <w:pPr>
      <w:keepNext/>
      <w:keepLines/>
      <w:numPr>
        <w:ilvl w:val="6"/>
        <w:numId w:val="36"/>
      </w:numPr>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23E67"/>
    <w:pPr>
      <w:keepNext/>
      <w:keepLines/>
      <w:numPr>
        <w:ilvl w:val="7"/>
        <w:numId w:val="36"/>
      </w:numPr>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23E67"/>
    <w:pPr>
      <w:keepNext/>
      <w:keepLines/>
      <w:numPr>
        <w:ilvl w:val="8"/>
        <w:numId w:val="36"/>
      </w:numPr>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1 Car"/>
    <w:basedOn w:val="Policepardfaut"/>
    <w:link w:val="Titre1"/>
    <w:uiPriority w:val="9"/>
    <w:rsid w:val="00FD4509"/>
    <w:rPr>
      <w:rFonts w:ascii="Times New Roman" w:eastAsiaTheme="majorEastAsia" w:hAnsi="Times New Roman" w:cstheme="majorBidi"/>
      <w:b/>
      <w:color w:val="000000" w:themeColor="text1"/>
      <w:sz w:val="32"/>
      <w:szCs w:val="40"/>
    </w:rPr>
  </w:style>
  <w:style w:type="character" w:customStyle="1" w:styleId="Titre2Car">
    <w:name w:val="Titre 2 Car"/>
    <w:basedOn w:val="Policepardfaut"/>
    <w:link w:val="Titre2"/>
    <w:uiPriority w:val="9"/>
    <w:rsid w:val="001A2307"/>
    <w:rPr>
      <w:rFonts w:ascii="Times New Roman" w:eastAsiaTheme="majorEastAsia" w:hAnsi="Times New Roman" w:cstheme="majorBidi"/>
      <w:b/>
      <w:color w:val="000000" w:themeColor="text1"/>
      <w:kern w:val="0"/>
      <w:sz w:val="28"/>
      <w:szCs w:val="32"/>
      <w:lang w:eastAsia="fr-FR"/>
      <w14:ligatures w14:val="none"/>
    </w:rPr>
  </w:style>
  <w:style w:type="character" w:customStyle="1" w:styleId="Titre3Car">
    <w:name w:val="Titre 3 Car"/>
    <w:basedOn w:val="Policepardfaut"/>
    <w:link w:val="Titre3"/>
    <w:uiPriority w:val="9"/>
    <w:rsid w:val="00023E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23E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23E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23E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23E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23E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23E67"/>
    <w:rPr>
      <w:rFonts w:eastAsiaTheme="majorEastAsia" w:cstheme="majorBidi"/>
      <w:color w:val="272727" w:themeColor="text1" w:themeTint="D8"/>
    </w:rPr>
  </w:style>
  <w:style w:type="paragraph" w:styleId="Titre">
    <w:name w:val="Title"/>
    <w:basedOn w:val="Normal"/>
    <w:next w:val="Normal"/>
    <w:link w:val="TitreCar"/>
    <w:uiPriority w:val="10"/>
    <w:qFormat/>
    <w:rsid w:val="00023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23E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23E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23E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23E67"/>
    <w:pPr>
      <w:spacing w:before="160"/>
      <w:jc w:val="center"/>
    </w:pPr>
    <w:rPr>
      <w:i/>
      <w:iCs/>
      <w:color w:val="404040" w:themeColor="text1" w:themeTint="BF"/>
    </w:rPr>
  </w:style>
  <w:style w:type="character" w:customStyle="1" w:styleId="CitationCar">
    <w:name w:val="Citation Car"/>
    <w:basedOn w:val="Policepardfaut"/>
    <w:link w:val="Citation"/>
    <w:uiPriority w:val="29"/>
    <w:rsid w:val="00023E67"/>
    <w:rPr>
      <w:i/>
      <w:iCs/>
      <w:color w:val="404040" w:themeColor="text1" w:themeTint="BF"/>
    </w:rPr>
  </w:style>
  <w:style w:type="paragraph" w:styleId="Paragraphedeliste">
    <w:name w:val="List Paragraph"/>
    <w:basedOn w:val="Normal"/>
    <w:uiPriority w:val="34"/>
    <w:qFormat/>
    <w:rsid w:val="00023E67"/>
    <w:pPr>
      <w:ind w:left="720"/>
      <w:contextualSpacing/>
    </w:pPr>
  </w:style>
  <w:style w:type="character" w:styleId="Accentuationintense">
    <w:name w:val="Intense Emphasis"/>
    <w:basedOn w:val="Policepardfaut"/>
    <w:uiPriority w:val="21"/>
    <w:qFormat/>
    <w:rsid w:val="00023E67"/>
    <w:rPr>
      <w:i/>
      <w:iCs/>
      <w:color w:val="0F4761" w:themeColor="accent1" w:themeShade="BF"/>
    </w:rPr>
  </w:style>
  <w:style w:type="paragraph" w:styleId="Citationintense">
    <w:name w:val="Intense Quote"/>
    <w:basedOn w:val="Normal"/>
    <w:next w:val="Normal"/>
    <w:link w:val="CitationintenseCar"/>
    <w:uiPriority w:val="30"/>
    <w:qFormat/>
    <w:rsid w:val="00023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23E67"/>
    <w:rPr>
      <w:i/>
      <w:iCs/>
      <w:color w:val="0F4761" w:themeColor="accent1" w:themeShade="BF"/>
    </w:rPr>
  </w:style>
  <w:style w:type="character" w:styleId="Rfrenceintense">
    <w:name w:val="Intense Reference"/>
    <w:basedOn w:val="Policepardfaut"/>
    <w:uiPriority w:val="32"/>
    <w:qFormat/>
    <w:rsid w:val="00023E67"/>
    <w:rPr>
      <w:b/>
      <w:bCs/>
      <w:smallCaps/>
      <w:color w:val="0F4761" w:themeColor="accent1" w:themeShade="BF"/>
      <w:spacing w:val="5"/>
    </w:rPr>
  </w:style>
  <w:style w:type="paragraph" w:styleId="En-ttedetabledesmatires">
    <w:name w:val="TOC Heading"/>
    <w:basedOn w:val="Titre1"/>
    <w:next w:val="Normal"/>
    <w:link w:val="En-ttedetabledesmatiresCar"/>
    <w:uiPriority w:val="39"/>
    <w:unhideWhenUsed/>
    <w:qFormat/>
    <w:rsid w:val="00023E67"/>
    <w:pPr>
      <w:spacing w:before="240" w:after="0" w:line="259" w:lineRule="auto"/>
      <w:outlineLvl w:val="9"/>
    </w:pPr>
    <w:rPr>
      <w:kern w:val="0"/>
      <w:szCs w:val="32"/>
      <w:lang w:eastAsia="fr-FR"/>
      <w14:ligatures w14:val="none"/>
    </w:rPr>
  </w:style>
  <w:style w:type="paragraph" w:styleId="TM2">
    <w:name w:val="toc 2"/>
    <w:basedOn w:val="Normal"/>
    <w:next w:val="Normal"/>
    <w:autoRedefine/>
    <w:uiPriority w:val="39"/>
    <w:unhideWhenUsed/>
    <w:rsid w:val="00023E67"/>
    <w:pPr>
      <w:spacing w:before="240" w:after="0"/>
    </w:pPr>
    <w:rPr>
      <w:b/>
      <w:bCs/>
      <w:sz w:val="20"/>
      <w:szCs w:val="20"/>
    </w:rPr>
  </w:style>
  <w:style w:type="paragraph" w:styleId="TM1">
    <w:name w:val="toc 1"/>
    <w:basedOn w:val="Normal"/>
    <w:next w:val="Normal"/>
    <w:autoRedefine/>
    <w:uiPriority w:val="39"/>
    <w:unhideWhenUsed/>
    <w:rsid w:val="00023E67"/>
    <w:pPr>
      <w:spacing w:before="360" w:after="0"/>
    </w:pPr>
    <w:rPr>
      <w:rFonts w:asciiTheme="majorHAnsi" w:hAnsiTheme="majorHAnsi"/>
      <w:b/>
      <w:bCs/>
      <w:caps/>
    </w:rPr>
  </w:style>
  <w:style w:type="paragraph" w:styleId="TM3">
    <w:name w:val="toc 3"/>
    <w:basedOn w:val="Normal"/>
    <w:next w:val="Normal"/>
    <w:autoRedefine/>
    <w:uiPriority w:val="39"/>
    <w:unhideWhenUsed/>
    <w:rsid w:val="00724343"/>
    <w:pPr>
      <w:spacing w:after="0"/>
      <w:ind w:left="240"/>
    </w:pPr>
    <w:rPr>
      <w:sz w:val="20"/>
      <w:szCs w:val="20"/>
    </w:rPr>
  </w:style>
  <w:style w:type="character" w:styleId="Marquedecommentaire">
    <w:name w:val="annotation reference"/>
    <w:basedOn w:val="Policepardfaut"/>
    <w:uiPriority w:val="99"/>
    <w:semiHidden/>
    <w:unhideWhenUsed/>
    <w:rsid w:val="00E42AF4"/>
    <w:rPr>
      <w:sz w:val="16"/>
      <w:szCs w:val="16"/>
    </w:rPr>
  </w:style>
  <w:style w:type="paragraph" w:styleId="Commentaire">
    <w:name w:val="annotation text"/>
    <w:basedOn w:val="Normal"/>
    <w:link w:val="CommentaireCar"/>
    <w:uiPriority w:val="99"/>
    <w:unhideWhenUsed/>
    <w:rsid w:val="00E42AF4"/>
    <w:pPr>
      <w:spacing w:line="240" w:lineRule="auto"/>
    </w:pPr>
    <w:rPr>
      <w:sz w:val="20"/>
      <w:szCs w:val="20"/>
    </w:rPr>
  </w:style>
  <w:style w:type="character" w:customStyle="1" w:styleId="CommentaireCar">
    <w:name w:val="Commentaire Car"/>
    <w:basedOn w:val="Policepardfaut"/>
    <w:link w:val="Commentaire"/>
    <w:uiPriority w:val="99"/>
    <w:rsid w:val="00E42AF4"/>
    <w:rPr>
      <w:sz w:val="20"/>
      <w:szCs w:val="20"/>
    </w:rPr>
  </w:style>
  <w:style w:type="character" w:styleId="lev">
    <w:name w:val="Strong"/>
    <w:basedOn w:val="Policepardfaut"/>
    <w:uiPriority w:val="22"/>
    <w:qFormat/>
    <w:rsid w:val="00B147D0"/>
    <w:rPr>
      <w:b/>
      <w:bCs/>
    </w:rPr>
  </w:style>
  <w:style w:type="paragraph" w:styleId="NormalWeb">
    <w:name w:val="Normal (Web)"/>
    <w:basedOn w:val="Normal"/>
    <w:uiPriority w:val="99"/>
    <w:unhideWhenUsed/>
    <w:rsid w:val="00B147D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Accentuation">
    <w:name w:val="Emphasis"/>
    <w:basedOn w:val="Policepardfaut"/>
    <w:uiPriority w:val="20"/>
    <w:qFormat/>
    <w:rsid w:val="00E25F1B"/>
    <w:rPr>
      <w:i/>
      <w:iCs/>
    </w:rPr>
  </w:style>
  <w:style w:type="paragraph" w:styleId="En-tte">
    <w:name w:val="header"/>
    <w:basedOn w:val="Normal"/>
    <w:link w:val="En-tteCar"/>
    <w:uiPriority w:val="99"/>
    <w:unhideWhenUsed/>
    <w:rsid w:val="00532123"/>
    <w:pPr>
      <w:tabs>
        <w:tab w:val="center" w:pos="4536"/>
        <w:tab w:val="right" w:pos="9072"/>
      </w:tabs>
      <w:spacing w:after="0" w:line="240" w:lineRule="auto"/>
    </w:pPr>
  </w:style>
  <w:style w:type="character" w:customStyle="1" w:styleId="En-tteCar">
    <w:name w:val="En-tête Car"/>
    <w:basedOn w:val="Policepardfaut"/>
    <w:link w:val="En-tte"/>
    <w:uiPriority w:val="99"/>
    <w:rsid w:val="00532123"/>
  </w:style>
  <w:style w:type="paragraph" w:styleId="Pieddepage">
    <w:name w:val="footer"/>
    <w:basedOn w:val="Normal"/>
    <w:link w:val="PieddepageCar"/>
    <w:uiPriority w:val="99"/>
    <w:unhideWhenUsed/>
    <w:rsid w:val="005321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2123"/>
  </w:style>
  <w:style w:type="paragraph" w:styleId="Sansinterligne">
    <w:name w:val="No Spacing"/>
    <w:link w:val="SansinterligneCar"/>
    <w:uiPriority w:val="1"/>
    <w:qFormat/>
    <w:rsid w:val="00AD45C4"/>
    <w:pPr>
      <w:spacing w:after="0" w:line="240" w:lineRule="auto"/>
    </w:pPr>
    <w:rPr>
      <w:rFonts w:eastAsiaTheme="minorEastAsia"/>
      <w:kern w:val="0"/>
      <w:sz w:val="22"/>
      <w:szCs w:val="22"/>
      <w:lang w:eastAsia="fr-FR"/>
      <w14:ligatures w14:val="none"/>
    </w:rPr>
  </w:style>
  <w:style w:type="character" w:customStyle="1" w:styleId="SansinterligneCar">
    <w:name w:val="Sans interligne Car"/>
    <w:basedOn w:val="Policepardfaut"/>
    <w:link w:val="Sansinterligne"/>
    <w:uiPriority w:val="1"/>
    <w:rsid w:val="00AD45C4"/>
    <w:rPr>
      <w:rFonts w:eastAsiaTheme="minorEastAsia"/>
      <w:kern w:val="0"/>
      <w:sz w:val="22"/>
      <w:szCs w:val="22"/>
      <w:lang w:eastAsia="fr-FR"/>
      <w14:ligatures w14:val="none"/>
    </w:rPr>
  </w:style>
  <w:style w:type="paragraph" w:customStyle="1" w:styleId="Stylegrandtitres">
    <w:name w:val="Style grand titres"/>
    <w:basedOn w:val="En-ttedetabledesmatires"/>
    <w:link w:val="StylegrandtitresCar"/>
    <w:autoRedefine/>
    <w:qFormat/>
    <w:rsid w:val="00C27B4C"/>
    <w:pPr>
      <w:spacing w:line="276" w:lineRule="auto"/>
    </w:pPr>
    <w:rPr>
      <w:rFonts w:cs="Times New Roman"/>
      <w:sz w:val="28"/>
      <w:szCs w:val="24"/>
    </w:rPr>
  </w:style>
  <w:style w:type="character" w:customStyle="1" w:styleId="En-ttedetabledesmatiresCar">
    <w:name w:val="En-tête de table des matières Car"/>
    <w:basedOn w:val="Titre1Car"/>
    <w:link w:val="En-ttedetabledesmatires"/>
    <w:uiPriority w:val="39"/>
    <w:rsid w:val="00FB3ECC"/>
    <w:rPr>
      <w:rFonts w:ascii="Times New Roman" w:eastAsiaTheme="majorEastAsia" w:hAnsi="Times New Roman" w:cstheme="majorBidi"/>
      <w:b/>
      <w:color w:val="000000" w:themeColor="text1"/>
      <w:kern w:val="0"/>
      <w:sz w:val="32"/>
      <w:szCs w:val="32"/>
      <w:lang w:eastAsia="fr-FR"/>
      <w14:ligatures w14:val="none"/>
    </w:rPr>
  </w:style>
  <w:style w:type="character" w:customStyle="1" w:styleId="StylegrandtitresCar">
    <w:name w:val="Style grand titres Car"/>
    <w:basedOn w:val="En-ttedetabledesmatiresCar"/>
    <w:link w:val="Stylegrandtitres"/>
    <w:rsid w:val="00C27B4C"/>
    <w:rPr>
      <w:rFonts w:ascii="Times New Roman" w:eastAsiaTheme="majorEastAsia" w:hAnsi="Times New Roman" w:cs="Times New Roman"/>
      <w:b/>
      <w:color w:val="000000" w:themeColor="text1"/>
      <w:kern w:val="0"/>
      <w:sz w:val="28"/>
      <w:szCs w:val="32"/>
      <w:lang w:eastAsia="fr-FR"/>
      <w14:ligatures w14:val="none"/>
    </w:rPr>
  </w:style>
  <w:style w:type="paragraph" w:styleId="TM4">
    <w:name w:val="toc 4"/>
    <w:basedOn w:val="Normal"/>
    <w:next w:val="Normal"/>
    <w:autoRedefine/>
    <w:uiPriority w:val="39"/>
    <w:unhideWhenUsed/>
    <w:rsid w:val="00A162DE"/>
    <w:pPr>
      <w:spacing w:after="0"/>
      <w:ind w:left="480"/>
    </w:pPr>
    <w:rPr>
      <w:sz w:val="20"/>
      <w:szCs w:val="20"/>
    </w:rPr>
  </w:style>
  <w:style w:type="paragraph" w:styleId="TM5">
    <w:name w:val="toc 5"/>
    <w:basedOn w:val="Normal"/>
    <w:next w:val="Normal"/>
    <w:autoRedefine/>
    <w:uiPriority w:val="39"/>
    <w:unhideWhenUsed/>
    <w:rsid w:val="00A162DE"/>
    <w:pPr>
      <w:spacing w:after="0"/>
      <w:ind w:left="720"/>
    </w:pPr>
    <w:rPr>
      <w:sz w:val="20"/>
      <w:szCs w:val="20"/>
    </w:rPr>
  </w:style>
  <w:style w:type="paragraph" w:styleId="TM6">
    <w:name w:val="toc 6"/>
    <w:basedOn w:val="Normal"/>
    <w:next w:val="Normal"/>
    <w:autoRedefine/>
    <w:uiPriority w:val="39"/>
    <w:unhideWhenUsed/>
    <w:rsid w:val="00A162DE"/>
    <w:pPr>
      <w:spacing w:after="0"/>
      <w:ind w:left="960"/>
    </w:pPr>
    <w:rPr>
      <w:sz w:val="20"/>
      <w:szCs w:val="20"/>
    </w:rPr>
  </w:style>
  <w:style w:type="paragraph" w:styleId="TM7">
    <w:name w:val="toc 7"/>
    <w:basedOn w:val="Normal"/>
    <w:next w:val="Normal"/>
    <w:autoRedefine/>
    <w:uiPriority w:val="39"/>
    <w:unhideWhenUsed/>
    <w:rsid w:val="00A162DE"/>
    <w:pPr>
      <w:spacing w:after="0"/>
      <w:ind w:left="1200"/>
    </w:pPr>
    <w:rPr>
      <w:sz w:val="20"/>
      <w:szCs w:val="20"/>
    </w:rPr>
  </w:style>
  <w:style w:type="paragraph" w:styleId="TM8">
    <w:name w:val="toc 8"/>
    <w:basedOn w:val="Normal"/>
    <w:next w:val="Normal"/>
    <w:autoRedefine/>
    <w:uiPriority w:val="39"/>
    <w:unhideWhenUsed/>
    <w:rsid w:val="00A162DE"/>
    <w:pPr>
      <w:spacing w:after="0"/>
      <w:ind w:left="1440"/>
    </w:pPr>
    <w:rPr>
      <w:sz w:val="20"/>
      <w:szCs w:val="20"/>
    </w:rPr>
  </w:style>
  <w:style w:type="paragraph" w:styleId="TM9">
    <w:name w:val="toc 9"/>
    <w:basedOn w:val="Normal"/>
    <w:next w:val="Normal"/>
    <w:autoRedefine/>
    <w:uiPriority w:val="39"/>
    <w:unhideWhenUsed/>
    <w:rsid w:val="00A162DE"/>
    <w:pPr>
      <w:spacing w:after="0"/>
      <w:ind w:left="1680"/>
    </w:pPr>
    <w:rPr>
      <w:sz w:val="20"/>
      <w:szCs w:val="20"/>
    </w:rPr>
  </w:style>
  <w:style w:type="paragraph" w:customStyle="1" w:styleId="Stylepetittitre">
    <w:name w:val="Style petit titre"/>
    <w:basedOn w:val="En-ttedetabledesmatires"/>
    <w:link w:val="StylepetittitreCar"/>
    <w:qFormat/>
    <w:rsid w:val="00D76083"/>
    <w:pPr>
      <w:numPr>
        <w:numId w:val="31"/>
      </w:numPr>
    </w:pPr>
    <w:rPr>
      <w:b w:val="0"/>
      <w:sz w:val="28"/>
    </w:rPr>
  </w:style>
  <w:style w:type="character" w:customStyle="1" w:styleId="StylepetittitreCar">
    <w:name w:val="Style petit titre Car"/>
    <w:basedOn w:val="En-ttedetabledesmatiresCar"/>
    <w:link w:val="Stylepetittitre"/>
    <w:rsid w:val="00D76083"/>
    <w:rPr>
      <w:rFonts w:ascii="Times New Roman" w:eastAsiaTheme="majorEastAsia" w:hAnsi="Times New Roman" w:cstheme="majorBidi"/>
      <w:b w:val="0"/>
      <w:color w:val="000000" w:themeColor="text1"/>
      <w:kern w:val="0"/>
      <w:sz w:val="28"/>
      <w:szCs w:val="32"/>
      <w:lang w:eastAsia="fr-FR"/>
      <w14:ligatures w14:val="none"/>
    </w:rPr>
  </w:style>
  <w:style w:type="paragraph" w:customStyle="1" w:styleId="abstractetconclu">
    <w:name w:val="abstract et conclu"/>
    <w:basedOn w:val="Stylepetittitre"/>
    <w:link w:val="abstractetconcluCar"/>
    <w:qFormat/>
    <w:rsid w:val="00725230"/>
    <w:pPr>
      <w:numPr>
        <w:numId w:val="0"/>
      </w:numPr>
    </w:pPr>
    <w:rPr>
      <w:b/>
      <w:i/>
      <w:sz w:val="32"/>
    </w:rPr>
  </w:style>
  <w:style w:type="character" w:customStyle="1" w:styleId="abstractetconcluCar">
    <w:name w:val="abstract et conclu Car"/>
    <w:basedOn w:val="StylepetittitreCar"/>
    <w:link w:val="abstractetconclu"/>
    <w:rsid w:val="00725230"/>
    <w:rPr>
      <w:rFonts w:ascii="Times New Roman" w:eastAsiaTheme="majorEastAsia" w:hAnsi="Times New Roman" w:cstheme="majorBidi"/>
      <w:b/>
      <w:i/>
      <w:color w:val="000000" w:themeColor="text1"/>
      <w:kern w:val="0"/>
      <w:sz w:val="32"/>
      <w:szCs w:val="32"/>
      <w:lang w:eastAsia="fr-FR"/>
      <w14:ligatures w14:val="none"/>
    </w:rPr>
  </w:style>
  <w:style w:type="paragraph" w:customStyle="1" w:styleId="Stylepetittitre2">
    <w:name w:val="Style petit titre 2"/>
    <w:basedOn w:val="Stylegrandtitres"/>
    <w:link w:val="Stylepetittitre2Car"/>
    <w:qFormat/>
    <w:rsid w:val="001A25F6"/>
    <w:pPr>
      <w:numPr>
        <w:numId w:val="32"/>
      </w:numPr>
      <w:ind w:left="1068"/>
    </w:pPr>
  </w:style>
  <w:style w:type="character" w:customStyle="1" w:styleId="Stylepetittitre2Car">
    <w:name w:val="Style petit titre 2 Car"/>
    <w:basedOn w:val="StylegrandtitresCar"/>
    <w:link w:val="Stylepetittitre2"/>
    <w:rsid w:val="001A25F6"/>
    <w:rPr>
      <w:rFonts w:ascii="Times New Roman" w:eastAsiaTheme="majorEastAsia" w:hAnsi="Times New Roman" w:cs="Times New Roman"/>
      <w:b/>
      <w:color w:val="000000" w:themeColor="text1"/>
      <w:kern w:val="0"/>
      <w:sz w:val="28"/>
      <w:szCs w:val="32"/>
      <w:lang w:eastAsia="fr-FR"/>
      <w14:ligatures w14:val="none"/>
    </w:rPr>
  </w:style>
  <w:style w:type="paragraph" w:customStyle="1" w:styleId="Stylepetittitre3">
    <w:name w:val="Style petit titre 3"/>
    <w:basedOn w:val="Stylegrandtitres"/>
    <w:link w:val="Stylepetittitre3Car"/>
    <w:qFormat/>
    <w:rsid w:val="0046513F"/>
    <w:pPr>
      <w:numPr>
        <w:numId w:val="33"/>
      </w:numPr>
    </w:pPr>
  </w:style>
  <w:style w:type="character" w:customStyle="1" w:styleId="Stylepetittitre3Car">
    <w:name w:val="Style petit titre 3 Car"/>
    <w:basedOn w:val="StylegrandtitresCar"/>
    <w:link w:val="Stylepetittitre3"/>
    <w:rsid w:val="0046513F"/>
    <w:rPr>
      <w:rFonts w:ascii="Times New Roman" w:eastAsiaTheme="majorEastAsia" w:hAnsi="Times New Roman" w:cs="Times New Roman"/>
      <w:b/>
      <w:color w:val="000000" w:themeColor="text1"/>
      <w:kern w:val="0"/>
      <w:sz w:val="28"/>
      <w:szCs w:val="32"/>
      <w:lang w:eastAsia="fr-FR"/>
      <w14:ligatures w14:val="none"/>
    </w:rPr>
  </w:style>
  <w:style w:type="character" w:styleId="Lienhypertexte">
    <w:name w:val="Hyperlink"/>
    <w:basedOn w:val="Policepardfaut"/>
    <w:uiPriority w:val="99"/>
    <w:unhideWhenUsed/>
    <w:rsid w:val="005A23D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E668F-9595-4C96-B48A-49AC2C33B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3074</TotalTime>
  <Pages>23</Pages>
  <Words>10351</Words>
  <Characters>56935</Characters>
  <Application>Microsoft Office Word</Application>
  <DocSecurity>0</DocSecurity>
  <Lines>474</Lines>
  <Paragraphs>134</Paragraphs>
  <ScaleCrop>false</ScaleCrop>
  <HeadingPairs>
    <vt:vector size="2" baseType="variant">
      <vt:variant>
        <vt:lpstr>Titre</vt:lpstr>
      </vt:variant>
      <vt:variant>
        <vt:i4>1</vt:i4>
      </vt:variant>
    </vt:vector>
  </HeadingPairs>
  <TitlesOfParts>
    <vt:vector size="1" baseType="lpstr">
      <vt:lpstr/>
    </vt:vector>
  </TitlesOfParts>
  <Company>Document de référence</Company>
  <LinksUpToDate>false</LinksUpToDate>
  <CharactersWithSpaces>67152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Définition du cadre de référence fondamental d'un CTS dans une logique de démocratie en santé</dc:title>
  <dc:subject/>
  <dc:creator>Sonia MOUSSA</dc:creator>
  <cp:keywords/>
  <dc:description/>
  <cp:lastModifiedBy>Sonia MOUSSA</cp:lastModifiedBy>
  <cp:revision>322</cp:revision>
  <cp:lastPrinted>2025-12-23T10:58:00Z</cp:lastPrinted>
  <dcterms:created xsi:type="dcterms:W3CDTF">2025-12-09T21:22:00Z</dcterms:created>
  <dcterms:modified xsi:type="dcterms:W3CDTF">2026-04-23T15:12:00Z</dcterms:modified>
  <cp:category>2026 - 2027</cp:category>
</cp:coreProperties>
</file>